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FD07" w14:textId="60C0174A" w:rsidR="00CE058C" w:rsidRPr="00CE058C" w:rsidRDefault="00CE058C" w:rsidP="00CE058C">
      <w:pPr>
        <w:jc w:val="center"/>
      </w:pPr>
      <w:r w:rsidRPr="00CE058C">
        <w:rPr>
          <w:b/>
          <w:bCs/>
        </w:rPr>
        <w:t>Перечень</w:t>
      </w:r>
      <w:r>
        <w:t xml:space="preserve"> </w:t>
      </w:r>
      <w:r w:rsidRPr="00CE058C">
        <w:rPr>
          <w:b/>
          <w:bCs/>
        </w:rPr>
        <w:t>ключевых показателей эффективности антимонопольного комплаенса</w:t>
      </w:r>
    </w:p>
    <w:p w14:paraId="44F0E03E" w14:textId="56CC4AAC" w:rsidR="00CE058C" w:rsidRPr="00CE058C" w:rsidRDefault="00CE058C" w:rsidP="00CE058C">
      <w:pPr>
        <w:jc w:val="center"/>
      </w:pPr>
      <w:r w:rsidRPr="00CE058C">
        <w:rPr>
          <w:b/>
          <w:bCs/>
        </w:rPr>
        <w:t>в муниципальном образовании «Заиграевский район»</w:t>
      </w:r>
      <w:r w:rsidRPr="00CE058C">
        <w:rPr>
          <w:b/>
          <w:bCs/>
        </w:rPr>
        <w:br/>
        <w:t>на 202</w:t>
      </w:r>
      <w:r w:rsidR="00CA4A82">
        <w:rPr>
          <w:b/>
          <w:bCs/>
        </w:rPr>
        <w:t>4</w:t>
      </w:r>
      <w:r w:rsidRPr="00CE058C">
        <w:rPr>
          <w:b/>
          <w:bCs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18"/>
        <w:gridCol w:w="4854"/>
      </w:tblGrid>
      <w:tr w:rsidR="00CE058C" w:rsidRPr="00CE058C" w14:paraId="6CFB55BA" w14:textId="77777777" w:rsidTr="00E65857">
        <w:tc>
          <w:tcPr>
            <w:tcW w:w="988" w:type="dxa"/>
          </w:tcPr>
          <w:p w14:paraId="67D7772C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№ п/п</w:t>
            </w:r>
          </w:p>
        </w:tc>
        <w:tc>
          <w:tcPr>
            <w:tcW w:w="8718" w:type="dxa"/>
          </w:tcPr>
          <w:p w14:paraId="5003CC38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Наименование ключевого показателя</w:t>
            </w:r>
          </w:p>
        </w:tc>
        <w:tc>
          <w:tcPr>
            <w:tcW w:w="4854" w:type="dxa"/>
          </w:tcPr>
          <w:p w14:paraId="3CBE5623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Определение значения ключевого показателя (балл)</w:t>
            </w:r>
          </w:p>
        </w:tc>
      </w:tr>
      <w:tr w:rsidR="00CE058C" w:rsidRPr="00CE058C" w14:paraId="026CEFF7" w14:textId="77777777" w:rsidTr="00E65857">
        <w:tc>
          <w:tcPr>
            <w:tcW w:w="988" w:type="dxa"/>
          </w:tcPr>
          <w:p w14:paraId="0114B8AF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12FDCBA6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Наличие утвержденного НПА об антимонопольном комплаенсе</w:t>
            </w:r>
          </w:p>
        </w:tc>
        <w:tc>
          <w:tcPr>
            <w:tcW w:w="4854" w:type="dxa"/>
          </w:tcPr>
          <w:p w14:paraId="20C00AD9" w14:textId="767AADFF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t>2</w:t>
            </w:r>
          </w:p>
        </w:tc>
      </w:tr>
      <w:tr w:rsidR="00CE058C" w:rsidRPr="00CE058C" w14:paraId="1FD0A4DA" w14:textId="77777777" w:rsidTr="00E65857">
        <w:tc>
          <w:tcPr>
            <w:tcW w:w="988" w:type="dxa"/>
          </w:tcPr>
          <w:p w14:paraId="283E94FF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03E6D24F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Определение уполномоченных подразделений</w:t>
            </w:r>
          </w:p>
        </w:tc>
        <w:tc>
          <w:tcPr>
            <w:tcW w:w="4854" w:type="dxa"/>
          </w:tcPr>
          <w:p w14:paraId="77089889" w14:textId="43494C18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t xml:space="preserve">2 </w:t>
            </w:r>
          </w:p>
        </w:tc>
      </w:tr>
      <w:tr w:rsidR="00CE058C" w:rsidRPr="00CE058C" w14:paraId="489BA28E" w14:textId="77777777" w:rsidTr="00E65857">
        <w:tc>
          <w:tcPr>
            <w:tcW w:w="988" w:type="dxa"/>
          </w:tcPr>
          <w:p w14:paraId="2250F406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16AE3FD5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Утверждение карты комплаенс-рисков</w:t>
            </w:r>
          </w:p>
        </w:tc>
        <w:tc>
          <w:tcPr>
            <w:tcW w:w="4854" w:type="dxa"/>
          </w:tcPr>
          <w:p w14:paraId="78DCC5C2" w14:textId="6DF91393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t xml:space="preserve">2 </w:t>
            </w:r>
          </w:p>
        </w:tc>
      </w:tr>
      <w:tr w:rsidR="00CE058C" w:rsidRPr="00CE058C" w14:paraId="333221EC" w14:textId="77777777" w:rsidTr="00E65857">
        <w:tc>
          <w:tcPr>
            <w:tcW w:w="988" w:type="dxa"/>
          </w:tcPr>
          <w:p w14:paraId="15B7FDD3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4E915221" w14:textId="212E9369" w:rsidR="00CE058C" w:rsidRPr="00CE058C" w:rsidRDefault="00CE058C" w:rsidP="00CE058C">
            <w:pPr>
              <w:spacing w:after="160" w:line="259" w:lineRule="auto"/>
            </w:pPr>
            <w:r w:rsidRPr="00CE058C">
              <w:t xml:space="preserve">Работа по выявлению и оценке рисков нарушения </w:t>
            </w:r>
            <w:r>
              <w:t>антимонопольного законодательства (далее – АЗ)</w:t>
            </w:r>
            <w:r w:rsidRPr="00CE058C">
              <w:t>, учет обстоятельств, связанных с рисками нарушения, определение вероятности их возникновения (в том числе за предшествующие 3 года)</w:t>
            </w:r>
          </w:p>
        </w:tc>
        <w:tc>
          <w:tcPr>
            <w:tcW w:w="4854" w:type="dxa"/>
          </w:tcPr>
          <w:p w14:paraId="11EC597F" w14:textId="00A1F739" w:rsidR="00CE058C" w:rsidRPr="00CE058C" w:rsidRDefault="007A040B" w:rsidP="00CE058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58C" w:rsidRPr="00CE058C" w14:paraId="14C9E505" w14:textId="77777777" w:rsidTr="00E65857">
        <w:tc>
          <w:tcPr>
            <w:tcW w:w="988" w:type="dxa"/>
          </w:tcPr>
          <w:p w14:paraId="254C2AD6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76140DE2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Мониторинг и анализ практики применения АЗ в муниципальном образовании</w:t>
            </w:r>
          </w:p>
        </w:tc>
        <w:tc>
          <w:tcPr>
            <w:tcW w:w="4854" w:type="dxa"/>
          </w:tcPr>
          <w:p w14:paraId="02E7E1B1" w14:textId="73BC1ACC" w:rsidR="00CE058C" w:rsidRPr="00CE058C" w:rsidRDefault="007A040B" w:rsidP="00CE058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58C" w:rsidRPr="00CE058C" w14:paraId="161D335B" w14:textId="77777777" w:rsidTr="00E65857">
        <w:tc>
          <w:tcPr>
            <w:tcW w:w="988" w:type="dxa"/>
          </w:tcPr>
          <w:p w14:paraId="2063C09F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2DE1490A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Утверждение плана мероприятий («дорожной карты») по снижению комплаенс-рисков</w:t>
            </w:r>
          </w:p>
        </w:tc>
        <w:tc>
          <w:tcPr>
            <w:tcW w:w="4854" w:type="dxa"/>
          </w:tcPr>
          <w:p w14:paraId="1DA9CCA9" w14:textId="543FB62A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t xml:space="preserve">2 </w:t>
            </w:r>
          </w:p>
        </w:tc>
      </w:tr>
      <w:tr w:rsidR="00CE058C" w:rsidRPr="00CE058C" w14:paraId="1BFD1235" w14:textId="77777777" w:rsidTr="00E65857">
        <w:tc>
          <w:tcPr>
            <w:tcW w:w="988" w:type="dxa"/>
          </w:tcPr>
          <w:p w14:paraId="7947FA3B" w14:textId="77777777" w:rsidR="00CE058C" w:rsidRPr="00CE058C" w:rsidRDefault="00CE058C" w:rsidP="00CE058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595790E9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Обучение служащих Администрации МО «Заиграевский район» требованиям АЗ и антимонопольного комплаенса</w:t>
            </w:r>
          </w:p>
        </w:tc>
        <w:tc>
          <w:tcPr>
            <w:tcW w:w="4854" w:type="dxa"/>
          </w:tcPr>
          <w:p w14:paraId="34AAEAC3" w14:textId="2BDE20AC" w:rsidR="00CE058C" w:rsidRPr="00CE058C" w:rsidRDefault="007A040B" w:rsidP="00CE058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58C" w:rsidRPr="00CE058C" w14:paraId="1110A825" w14:textId="77777777" w:rsidTr="00E65857">
        <w:tc>
          <w:tcPr>
            <w:tcW w:w="988" w:type="dxa"/>
          </w:tcPr>
          <w:p w14:paraId="56B04D26" w14:textId="77777777" w:rsidR="00CE058C" w:rsidRPr="00CE058C" w:rsidRDefault="00CE058C" w:rsidP="00CE058C">
            <w:pPr>
              <w:numPr>
                <w:ilvl w:val="0"/>
                <w:numId w:val="1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448C9919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Консультирование служащих и руководства по вопросам, связанным с антимонопольным комплаенсом</w:t>
            </w:r>
          </w:p>
        </w:tc>
        <w:tc>
          <w:tcPr>
            <w:tcW w:w="4854" w:type="dxa"/>
          </w:tcPr>
          <w:p w14:paraId="08ED422F" w14:textId="64C9CD16" w:rsidR="00CE058C" w:rsidRPr="00CE058C" w:rsidRDefault="007A040B" w:rsidP="00CE058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58C" w:rsidRPr="00CE058C" w14:paraId="3EB91F08" w14:textId="77777777" w:rsidTr="00E65857">
        <w:tc>
          <w:tcPr>
            <w:tcW w:w="988" w:type="dxa"/>
          </w:tcPr>
          <w:p w14:paraId="470F4737" w14:textId="77777777" w:rsidR="00CE058C" w:rsidRPr="00CE058C" w:rsidRDefault="00CE058C" w:rsidP="00CE058C">
            <w:pPr>
              <w:numPr>
                <w:ilvl w:val="0"/>
                <w:numId w:val="1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302BF687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 xml:space="preserve">Размещение НПА, изданных Администрацией МО «Заиграевский район» на официальном сайте в информационно-телекоммуникационной сети Интернет  </w:t>
            </w:r>
            <w:hyperlink r:id="rId5" w:history="1">
              <w:r w:rsidRPr="00CE058C">
                <w:rPr>
                  <w:rStyle w:val="a4"/>
                </w:rPr>
                <w:t>https://zaigraevo.gosuslugi.ru/</w:t>
              </w:r>
            </w:hyperlink>
          </w:p>
        </w:tc>
        <w:tc>
          <w:tcPr>
            <w:tcW w:w="4854" w:type="dxa"/>
          </w:tcPr>
          <w:p w14:paraId="2DC37701" w14:textId="123F44E7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t xml:space="preserve">2 </w:t>
            </w:r>
          </w:p>
        </w:tc>
      </w:tr>
      <w:tr w:rsidR="00CE058C" w:rsidRPr="00CE058C" w14:paraId="378DD640" w14:textId="77777777" w:rsidTr="00E65857">
        <w:tc>
          <w:tcPr>
            <w:tcW w:w="988" w:type="dxa"/>
          </w:tcPr>
          <w:p w14:paraId="5EE83C30" w14:textId="77777777" w:rsidR="00CE058C" w:rsidRPr="00CE058C" w:rsidRDefault="00CE058C" w:rsidP="00CE058C">
            <w:pPr>
              <w:numPr>
                <w:ilvl w:val="0"/>
                <w:numId w:val="1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0E59E5D1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Информирование Главы о внутренних документах, которые могут повлечь нарушение АЗ, противоречить АЗ и антимонопольному комплаенсу</w:t>
            </w:r>
          </w:p>
        </w:tc>
        <w:tc>
          <w:tcPr>
            <w:tcW w:w="4854" w:type="dxa"/>
          </w:tcPr>
          <w:p w14:paraId="1177AF54" w14:textId="145EAF8A" w:rsidR="00CE058C" w:rsidRPr="00CE058C" w:rsidRDefault="007A040B" w:rsidP="00CE058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58C" w:rsidRPr="00CE058C" w14:paraId="34E7219B" w14:textId="77777777" w:rsidTr="00E65857">
        <w:tc>
          <w:tcPr>
            <w:tcW w:w="988" w:type="dxa"/>
          </w:tcPr>
          <w:p w14:paraId="57612516" w14:textId="77777777" w:rsidR="00CE058C" w:rsidRPr="00CE058C" w:rsidRDefault="00CE058C" w:rsidP="00CE058C">
            <w:pPr>
              <w:numPr>
                <w:ilvl w:val="0"/>
                <w:numId w:val="1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44D89841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 xml:space="preserve">Ознакомление сотрудников с Кодексом этики и служебного поведения муниципальных служащих Администрации МО «Заиграевский район», устранение конфликта интересов в </w:t>
            </w:r>
            <w:r w:rsidRPr="00CE058C">
              <w:lastRenderedPageBreak/>
              <w:t>деятельности служащих и структурных подразделений Администрации МО «Заиграевский район», разработка предложений по их исключению</w:t>
            </w:r>
          </w:p>
        </w:tc>
        <w:tc>
          <w:tcPr>
            <w:tcW w:w="4854" w:type="dxa"/>
          </w:tcPr>
          <w:p w14:paraId="7077899C" w14:textId="204319DA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lastRenderedPageBreak/>
              <w:t xml:space="preserve">2 </w:t>
            </w:r>
          </w:p>
        </w:tc>
      </w:tr>
      <w:tr w:rsidR="00CE058C" w:rsidRPr="00CE058C" w14:paraId="7BB97820" w14:textId="77777777" w:rsidTr="00E65857">
        <w:tc>
          <w:tcPr>
            <w:tcW w:w="988" w:type="dxa"/>
          </w:tcPr>
          <w:p w14:paraId="2200FB92" w14:textId="77777777" w:rsidR="00CE058C" w:rsidRPr="00CE058C" w:rsidRDefault="00CE058C" w:rsidP="00CE058C">
            <w:pPr>
              <w:numPr>
                <w:ilvl w:val="0"/>
                <w:numId w:val="11"/>
              </w:numPr>
              <w:spacing w:after="160" w:line="259" w:lineRule="auto"/>
            </w:pPr>
          </w:p>
        </w:tc>
        <w:tc>
          <w:tcPr>
            <w:tcW w:w="8718" w:type="dxa"/>
          </w:tcPr>
          <w:p w14:paraId="1ABFD5BA" w14:textId="77777777" w:rsidR="00CE058C" w:rsidRPr="00CE058C" w:rsidRDefault="00CE058C" w:rsidP="00CE058C">
            <w:pPr>
              <w:spacing w:after="160" w:line="259" w:lineRule="auto"/>
            </w:pPr>
            <w:r w:rsidRPr="00CE058C">
              <w:t>Количество нарушений АЗ со стороны Администрации МО «Заиграевский район» по сравнению с предшествующим годом</w:t>
            </w:r>
          </w:p>
        </w:tc>
        <w:tc>
          <w:tcPr>
            <w:tcW w:w="4854" w:type="dxa"/>
          </w:tcPr>
          <w:p w14:paraId="23E74E74" w14:textId="3DE14653" w:rsidR="00CE058C" w:rsidRPr="00CE058C" w:rsidRDefault="00CE058C" w:rsidP="00CE058C">
            <w:pPr>
              <w:spacing w:after="160" w:line="259" w:lineRule="auto"/>
              <w:jc w:val="center"/>
            </w:pPr>
            <w:r w:rsidRPr="00CE058C">
              <w:t xml:space="preserve">2 </w:t>
            </w:r>
          </w:p>
        </w:tc>
      </w:tr>
    </w:tbl>
    <w:p w14:paraId="1542687A" w14:textId="77777777" w:rsidR="00CE058C" w:rsidRPr="00CE058C" w:rsidRDefault="00CE058C" w:rsidP="00CE058C"/>
    <w:p w14:paraId="2FAEC5BF" w14:textId="77777777" w:rsidR="00CE058C" w:rsidRPr="00CE058C" w:rsidRDefault="00CE058C" w:rsidP="00CE058C">
      <w:pPr>
        <w:rPr>
          <w:lang w:val="en-US"/>
        </w:rPr>
      </w:pPr>
    </w:p>
    <w:p w14:paraId="5EE4F76B" w14:textId="77777777" w:rsidR="00CE058C" w:rsidRPr="00CE058C" w:rsidRDefault="00CE058C" w:rsidP="00CE058C"/>
    <w:p w14:paraId="10F4A535" w14:textId="77777777" w:rsidR="00CE058C" w:rsidRPr="00CE058C" w:rsidRDefault="00CE058C" w:rsidP="00CE058C">
      <w:r w:rsidRPr="00CE058C">
        <w:t>*Механизм оценки эффективности антимонопольного комплаенса:</w:t>
      </w:r>
    </w:p>
    <w:p w14:paraId="147293DC" w14:textId="77777777" w:rsidR="00CE058C" w:rsidRPr="00CE058C" w:rsidRDefault="00CE058C" w:rsidP="00CE058C">
      <w:pPr>
        <w:numPr>
          <w:ilvl w:val="0"/>
          <w:numId w:val="10"/>
        </w:numPr>
      </w:pPr>
      <w:r w:rsidRPr="00CE058C">
        <w:t>высокий уровень эффективности антимонопольного комплаенса – от 20 до 26 баллов;</w:t>
      </w:r>
    </w:p>
    <w:p w14:paraId="0A9F1BD8" w14:textId="77777777" w:rsidR="00CE058C" w:rsidRPr="00CE058C" w:rsidRDefault="00CE058C" w:rsidP="00CE058C">
      <w:pPr>
        <w:numPr>
          <w:ilvl w:val="0"/>
          <w:numId w:val="10"/>
        </w:numPr>
      </w:pPr>
      <w:r w:rsidRPr="00CE058C">
        <w:t>средний уровень эффективности антимонопольного комплаенса – от 15 до 19 баллов;</w:t>
      </w:r>
    </w:p>
    <w:p w14:paraId="14FBD46F" w14:textId="77777777" w:rsidR="00CE058C" w:rsidRPr="00CE058C" w:rsidRDefault="00CE058C" w:rsidP="00CE058C">
      <w:pPr>
        <w:numPr>
          <w:ilvl w:val="0"/>
          <w:numId w:val="10"/>
        </w:numPr>
      </w:pPr>
      <w:r w:rsidRPr="00CE058C">
        <w:t>низкий уровень эффективности антимонопольного комплаенса – менее 15 баллов.</w:t>
      </w:r>
    </w:p>
    <w:p w14:paraId="12128B25" w14:textId="77777777" w:rsidR="0029208F" w:rsidRDefault="0029208F"/>
    <w:sectPr w:rsidR="0029208F" w:rsidSect="00CE05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F21"/>
    <w:multiLevelType w:val="multilevel"/>
    <w:tmpl w:val="25CC7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B0064"/>
    <w:multiLevelType w:val="hybridMultilevel"/>
    <w:tmpl w:val="FE84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F67"/>
    <w:multiLevelType w:val="multilevel"/>
    <w:tmpl w:val="677A3B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C17BF0"/>
    <w:multiLevelType w:val="multilevel"/>
    <w:tmpl w:val="F2FC57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60A8A"/>
    <w:multiLevelType w:val="hybridMultilevel"/>
    <w:tmpl w:val="D5304196"/>
    <w:lvl w:ilvl="0" w:tplc="94305B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33D5A"/>
    <w:multiLevelType w:val="multilevel"/>
    <w:tmpl w:val="DACECD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E0440C"/>
    <w:multiLevelType w:val="multilevel"/>
    <w:tmpl w:val="A3465D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0F49E0"/>
    <w:multiLevelType w:val="multilevel"/>
    <w:tmpl w:val="C3507F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A358C"/>
    <w:multiLevelType w:val="multilevel"/>
    <w:tmpl w:val="F33257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107924"/>
    <w:multiLevelType w:val="multilevel"/>
    <w:tmpl w:val="437AF5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242757"/>
    <w:multiLevelType w:val="multilevel"/>
    <w:tmpl w:val="D2A23B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E4"/>
    <w:rsid w:val="0029208F"/>
    <w:rsid w:val="004D230D"/>
    <w:rsid w:val="006F3DE4"/>
    <w:rsid w:val="007A040B"/>
    <w:rsid w:val="00C863AA"/>
    <w:rsid w:val="00CA4A82"/>
    <w:rsid w:val="00C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B298"/>
  <w15:chartTrackingRefBased/>
  <w15:docId w15:val="{4C0D3DBB-894E-4A70-8115-0DA0568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05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05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E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igraevo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С. Булыгин</dc:creator>
  <cp:keywords/>
  <dc:description/>
  <cp:lastModifiedBy>admzgr</cp:lastModifiedBy>
  <cp:revision>5</cp:revision>
  <dcterms:created xsi:type="dcterms:W3CDTF">2024-02-18T23:59:00Z</dcterms:created>
  <dcterms:modified xsi:type="dcterms:W3CDTF">2025-03-17T02:20:00Z</dcterms:modified>
</cp:coreProperties>
</file>