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svg" ContentType="application/octet-stream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B3AC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818108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D7C3E" w:rsidRDefault="00AD7C3E" w:rsidP="00AD7C3E">
      <w:pPr>
        <w:pBdr>
          <w:top w:val="single" w:sz="12" w:space="1" w:color="auto"/>
        </w:pBdr>
        <w:rPr>
          <w:color w:val="000000" w:themeColor="text1"/>
          <w:szCs w:val="28"/>
        </w:rPr>
      </w:pPr>
      <w:r w:rsidRPr="00D3526E">
        <w:rPr>
          <w:color w:val="000000" w:themeColor="text1"/>
          <w:szCs w:val="28"/>
          <w:u w:val="single"/>
        </w:rPr>
        <w:t>23</w:t>
      </w:r>
      <w:r w:rsidR="0080058F" w:rsidRPr="00D3526E">
        <w:rPr>
          <w:color w:val="000000" w:themeColor="text1"/>
          <w:szCs w:val="28"/>
          <w:u w:val="single"/>
        </w:rPr>
        <w:t>.</w:t>
      </w:r>
      <w:r w:rsidR="00A40F3B" w:rsidRPr="00D3526E">
        <w:rPr>
          <w:color w:val="000000" w:themeColor="text1"/>
          <w:szCs w:val="28"/>
          <w:u w:val="single"/>
        </w:rPr>
        <w:t>12</w:t>
      </w:r>
      <w:r w:rsidR="008A4DC0" w:rsidRPr="00D3526E">
        <w:rPr>
          <w:color w:val="000000" w:themeColor="text1"/>
          <w:szCs w:val="28"/>
          <w:u w:val="single"/>
        </w:rPr>
        <w:t>.202</w:t>
      </w:r>
      <w:r w:rsidR="00953BD9" w:rsidRPr="00D3526E">
        <w:rPr>
          <w:color w:val="000000" w:themeColor="text1"/>
          <w:szCs w:val="28"/>
          <w:u w:val="single"/>
        </w:rPr>
        <w:t>5</w:t>
      </w:r>
      <w:r w:rsidR="0043356C" w:rsidRPr="00AD7C3E">
        <w:rPr>
          <w:color w:val="000000" w:themeColor="text1"/>
          <w:szCs w:val="28"/>
        </w:rPr>
        <w:t xml:space="preserve">                                                  </w:t>
      </w:r>
      <w:r w:rsidR="0020042E" w:rsidRPr="00AD7C3E">
        <w:rPr>
          <w:color w:val="000000" w:themeColor="text1"/>
          <w:szCs w:val="28"/>
        </w:rPr>
        <w:t xml:space="preserve">    </w:t>
      </w:r>
      <w:r w:rsidR="0043356C" w:rsidRPr="00AD7C3E">
        <w:rPr>
          <w:color w:val="000000" w:themeColor="text1"/>
          <w:szCs w:val="28"/>
        </w:rPr>
        <w:t xml:space="preserve">  </w:t>
      </w:r>
      <w:r w:rsidR="008A4DC0" w:rsidRPr="00AD7C3E">
        <w:rPr>
          <w:color w:val="000000" w:themeColor="text1"/>
          <w:szCs w:val="28"/>
        </w:rPr>
        <w:t xml:space="preserve">                                                </w:t>
      </w:r>
      <w:r w:rsidR="003B7EF7" w:rsidRPr="00AD7C3E">
        <w:rPr>
          <w:color w:val="000000" w:themeColor="text1"/>
          <w:szCs w:val="28"/>
        </w:rPr>
        <w:t xml:space="preserve"> </w:t>
      </w:r>
      <w:r w:rsidR="00CE54B7" w:rsidRPr="00AD7C3E">
        <w:rPr>
          <w:color w:val="000000" w:themeColor="text1"/>
          <w:szCs w:val="28"/>
        </w:rPr>
        <w:t xml:space="preserve">   </w:t>
      </w:r>
      <w:r w:rsidR="0043356C" w:rsidRPr="00AD7C3E">
        <w:rPr>
          <w:color w:val="000000" w:themeColor="text1"/>
          <w:szCs w:val="28"/>
        </w:rPr>
        <w:t>№</w:t>
      </w:r>
      <w:r w:rsidR="008A4DC0" w:rsidRPr="00AD7C3E">
        <w:rPr>
          <w:color w:val="000000" w:themeColor="text1"/>
          <w:szCs w:val="28"/>
        </w:rPr>
        <w:t xml:space="preserve"> </w:t>
      </w:r>
      <w:r w:rsidRPr="00D3526E">
        <w:rPr>
          <w:color w:val="000000" w:themeColor="text1"/>
          <w:szCs w:val="28"/>
          <w:u w:val="single"/>
        </w:rPr>
        <w:t>656</w:t>
      </w:r>
    </w:p>
    <w:p w:rsidR="0043356C" w:rsidRDefault="0043356C" w:rsidP="00AD7C3E">
      <w:pPr>
        <w:pBdr>
          <w:top w:val="single" w:sz="12" w:space="1" w:color="auto"/>
        </w:pBdr>
        <w:jc w:val="center"/>
        <w:rPr>
          <w:color w:val="000000" w:themeColor="text1"/>
          <w:szCs w:val="28"/>
        </w:rPr>
      </w:pPr>
      <w:r w:rsidRPr="00AD7C3E">
        <w:rPr>
          <w:color w:val="000000" w:themeColor="text1"/>
          <w:szCs w:val="28"/>
        </w:rPr>
        <w:t>п. Заиграево</w:t>
      </w:r>
    </w:p>
    <w:p w:rsidR="00AD7C3E" w:rsidRPr="00AD7C3E" w:rsidRDefault="00AD7C3E" w:rsidP="00AD7C3E">
      <w:pPr>
        <w:pBdr>
          <w:top w:val="single" w:sz="12" w:space="1" w:color="auto"/>
        </w:pBdr>
        <w:jc w:val="center"/>
        <w:rPr>
          <w:color w:val="000000" w:themeColor="text1"/>
          <w:szCs w:val="28"/>
        </w:rPr>
      </w:pPr>
    </w:p>
    <w:p w:rsidR="00AD7C3E" w:rsidRPr="00AD7C3E" w:rsidRDefault="00AD7C3E" w:rsidP="00AD7C3E">
      <w:pPr>
        <w:widowControl w:val="0"/>
        <w:shd w:val="clear" w:color="auto" w:fill="FFFFFF"/>
        <w:ind w:right="3258"/>
        <w:jc w:val="both"/>
        <w:rPr>
          <w:color w:val="000000" w:themeColor="text1"/>
          <w:szCs w:val="26"/>
        </w:rPr>
      </w:pPr>
      <w:r w:rsidRPr="00AD7C3E">
        <w:rPr>
          <w:color w:val="000000" w:themeColor="text1"/>
          <w:szCs w:val="26"/>
        </w:rPr>
        <w:t>О внесении изменений в Положение «О системе оплаты труда работников муниципальных общеобразовательных организаций муниципального образования «</w:t>
      </w:r>
      <w:proofErr w:type="spellStart"/>
      <w:r w:rsidRPr="00AD7C3E">
        <w:rPr>
          <w:color w:val="000000" w:themeColor="text1"/>
          <w:szCs w:val="26"/>
        </w:rPr>
        <w:t>Заиграевский</w:t>
      </w:r>
      <w:proofErr w:type="spellEnd"/>
      <w:r w:rsidRPr="00AD7C3E">
        <w:rPr>
          <w:color w:val="000000" w:themeColor="text1"/>
          <w:szCs w:val="26"/>
        </w:rPr>
        <w:t xml:space="preserve"> район», утвержденное Постановлением Администрации муниципального образования «</w:t>
      </w:r>
      <w:proofErr w:type="spellStart"/>
      <w:r w:rsidRPr="00AD7C3E">
        <w:rPr>
          <w:color w:val="000000" w:themeColor="text1"/>
          <w:szCs w:val="26"/>
        </w:rPr>
        <w:t>Заиграевский</w:t>
      </w:r>
      <w:proofErr w:type="spellEnd"/>
      <w:r w:rsidRPr="00AD7C3E">
        <w:rPr>
          <w:color w:val="000000" w:themeColor="text1"/>
          <w:szCs w:val="26"/>
        </w:rPr>
        <w:t xml:space="preserve"> район» Республики Бурятия </w:t>
      </w:r>
      <w:r w:rsidR="007C57B1" w:rsidRPr="00AD7C3E">
        <w:rPr>
          <w:color w:val="000000" w:themeColor="text1"/>
          <w:szCs w:val="26"/>
        </w:rPr>
        <w:t xml:space="preserve">№ 448 </w:t>
      </w:r>
      <w:r w:rsidRPr="00AD7C3E">
        <w:rPr>
          <w:color w:val="000000" w:themeColor="text1"/>
          <w:szCs w:val="26"/>
        </w:rPr>
        <w:t xml:space="preserve">от </w:t>
      </w:r>
      <w:bookmarkStart w:id="0" w:name="_GoBack"/>
      <w:bookmarkEnd w:id="0"/>
      <w:r w:rsidRPr="00AD7C3E">
        <w:rPr>
          <w:color w:val="000000" w:themeColor="text1"/>
          <w:szCs w:val="26"/>
        </w:rPr>
        <w:t xml:space="preserve">17.11.2023 </w:t>
      </w:r>
    </w:p>
    <w:p w:rsidR="00AD7C3E" w:rsidRPr="00AD7C3E" w:rsidRDefault="00AD7C3E" w:rsidP="00AD7C3E">
      <w:pPr>
        <w:widowControl w:val="0"/>
        <w:shd w:val="clear" w:color="auto" w:fill="FFFFFF"/>
        <w:ind w:firstLine="709"/>
        <w:jc w:val="both"/>
        <w:rPr>
          <w:color w:val="000000" w:themeColor="text1"/>
          <w:szCs w:val="26"/>
        </w:rPr>
      </w:pPr>
    </w:p>
    <w:p w:rsidR="00AD7C3E" w:rsidRPr="00AD7C3E" w:rsidRDefault="00AD7C3E" w:rsidP="00AD7C3E">
      <w:pPr>
        <w:widowControl w:val="0"/>
        <w:shd w:val="clear" w:color="auto" w:fill="FFFFFF"/>
        <w:ind w:firstLine="709"/>
        <w:jc w:val="both"/>
        <w:rPr>
          <w:color w:val="000000" w:themeColor="text1"/>
          <w:szCs w:val="26"/>
        </w:rPr>
      </w:pPr>
      <w:proofErr w:type="gramStart"/>
      <w:r w:rsidRPr="00AD7C3E">
        <w:rPr>
          <w:color w:val="000000" w:themeColor="text1"/>
          <w:szCs w:val="26"/>
        </w:rPr>
        <w:t>В целях обеспечения эффективности использования финансовых ресурсов, направляемых в сферу образования и экономического стимулирования повышения качества образования, апробации новых механизмов оплаты труда,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</w:t>
      </w:r>
      <w:r>
        <w:rPr>
          <w:color w:val="000000" w:themeColor="text1"/>
          <w:szCs w:val="26"/>
        </w:rPr>
        <w:t xml:space="preserve"> </w:t>
      </w:r>
      <w:hyperlink r:id="rId9" w:tooltip="https://pravo-search.minjust.ru/bigs/showDocument.html?id=96E20C02-1B12-465A-B64C-24AA92270007" w:history="1">
        <w:r w:rsidRPr="00AD7C3E">
          <w:rPr>
            <w:rStyle w:val="a8"/>
            <w:color w:val="000000" w:themeColor="text1"/>
            <w:szCs w:val="26"/>
            <w:u w:val="none"/>
          </w:rPr>
          <w:t>от 20.03.2025 г. № 33-ФЗ</w:t>
        </w:r>
      </w:hyperlink>
      <w:r>
        <w:rPr>
          <w:color w:val="000000" w:themeColor="text1"/>
          <w:szCs w:val="26"/>
        </w:rPr>
        <w:t xml:space="preserve"> </w:t>
      </w:r>
      <w:r w:rsidRPr="00AD7C3E">
        <w:rPr>
          <w:color w:val="000000" w:themeColor="text1"/>
          <w:szCs w:val="26"/>
        </w:rPr>
        <w:t>«Об общих принципах организации местного самоуправления в единой системе публичной власти», Федеральным законом от</w:t>
      </w:r>
      <w:proofErr w:type="gramEnd"/>
      <w:r w:rsidRPr="00AD7C3E">
        <w:rPr>
          <w:color w:val="000000" w:themeColor="text1"/>
          <w:szCs w:val="26"/>
        </w:rPr>
        <w:t xml:space="preserve"> 29.12.2012 года № 273-ФЗ «Об образовании в Российской Федерации», Постановлением Правительства Республики Бурятия от 10 декабря 2014 года № 620 «Об утверждении </w:t>
      </w:r>
      <w:r>
        <w:rPr>
          <w:color w:val="000000" w:themeColor="text1"/>
          <w:szCs w:val="26"/>
        </w:rPr>
        <w:t xml:space="preserve">Положения об установлении </w:t>
      </w:r>
      <w:proofErr w:type="gramStart"/>
      <w:r w:rsidRPr="00AD7C3E">
        <w:rPr>
          <w:color w:val="000000" w:themeColor="text1"/>
          <w:szCs w:val="26"/>
        </w:rPr>
        <w:t>систем оплаты труда работников республиканских государственных учреждений</w:t>
      </w:r>
      <w:proofErr w:type="gramEnd"/>
      <w:r w:rsidRPr="00AD7C3E">
        <w:rPr>
          <w:color w:val="000000" w:themeColor="text1"/>
          <w:szCs w:val="26"/>
        </w:rPr>
        <w:t xml:space="preserve"> и фондов, финансируемых из республиканского бюджета, руководствуясь статьями 29, 30 Устава муниципального образования «</w:t>
      </w:r>
      <w:proofErr w:type="spellStart"/>
      <w:r w:rsidRPr="00AD7C3E">
        <w:rPr>
          <w:color w:val="000000" w:themeColor="text1"/>
          <w:szCs w:val="26"/>
        </w:rPr>
        <w:t>Заиграевский</w:t>
      </w:r>
      <w:proofErr w:type="spellEnd"/>
      <w:r w:rsidRPr="00AD7C3E">
        <w:rPr>
          <w:color w:val="000000" w:themeColor="text1"/>
          <w:szCs w:val="26"/>
        </w:rPr>
        <w:t xml:space="preserve"> район»,</w:t>
      </w:r>
    </w:p>
    <w:p w:rsidR="00AD7C3E" w:rsidRPr="00AD7C3E" w:rsidRDefault="00AD7C3E" w:rsidP="00AD7C3E">
      <w:pPr>
        <w:widowControl w:val="0"/>
        <w:shd w:val="clear" w:color="auto" w:fill="FFFFFF"/>
        <w:ind w:firstLine="709"/>
        <w:jc w:val="both"/>
        <w:rPr>
          <w:b/>
          <w:color w:val="000000" w:themeColor="text1"/>
          <w:szCs w:val="26"/>
        </w:rPr>
      </w:pPr>
      <w:r w:rsidRPr="00AD7C3E">
        <w:rPr>
          <w:b/>
          <w:color w:val="000000" w:themeColor="text1"/>
          <w:szCs w:val="26"/>
        </w:rPr>
        <w:t>постановляю:</w:t>
      </w:r>
    </w:p>
    <w:p w:rsidR="00AD7C3E" w:rsidRPr="00AD7C3E" w:rsidRDefault="00AD7C3E" w:rsidP="00AD7C3E">
      <w:pPr>
        <w:widowControl w:val="0"/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AD7C3E">
        <w:rPr>
          <w:color w:val="000000" w:themeColor="text1"/>
          <w:szCs w:val="26"/>
        </w:rPr>
        <w:t>1. Внести следующие изменения в Положение «О системе оплаты труда работников муниципальных общеобразовательных организаций муниципального образования «</w:t>
      </w:r>
      <w:proofErr w:type="spellStart"/>
      <w:r w:rsidRPr="00AD7C3E">
        <w:rPr>
          <w:color w:val="000000" w:themeColor="text1"/>
          <w:szCs w:val="26"/>
        </w:rPr>
        <w:t>Заиграевский</w:t>
      </w:r>
      <w:proofErr w:type="spellEnd"/>
      <w:r w:rsidRPr="00AD7C3E">
        <w:rPr>
          <w:color w:val="000000" w:themeColor="text1"/>
          <w:szCs w:val="26"/>
        </w:rPr>
        <w:t xml:space="preserve"> район», утвержденное Постановлением Администрации муниципального образования «</w:t>
      </w:r>
      <w:proofErr w:type="spellStart"/>
      <w:r w:rsidRPr="00AD7C3E">
        <w:rPr>
          <w:color w:val="000000" w:themeColor="text1"/>
          <w:szCs w:val="26"/>
        </w:rPr>
        <w:t>Заиграевский</w:t>
      </w:r>
      <w:proofErr w:type="spellEnd"/>
      <w:r w:rsidRPr="00AD7C3E">
        <w:rPr>
          <w:color w:val="000000" w:themeColor="text1"/>
          <w:szCs w:val="26"/>
        </w:rPr>
        <w:t xml:space="preserve"> район» Республики Бурятия от 17.11.2023 года № 448:</w:t>
      </w:r>
    </w:p>
    <w:p w:rsidR="00AD7C3E" w:rsidRPr="00AD7C3E" w:rsidRDefault="00AD7C3E" w:rsidP="00AD7C3E">
      <w:pPr>
        <w:widowControl w:val="0"/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AD7C3E">
        <w:rPr>
          <w:szCs w:val="26"/>
        </w:rPr>
        <w:lastRenderedPageBreak/>
        <w:t>1.1. Раздел 3</w:t>
      </w:r>
      <w:r w:rsidRPr="00AD7C3E">
        <w:rPr>
          <w:color w:val="000000"/>
        </w:rPr>
        <w:t>. Изложить в следующей редакции:</w:t>
      </w:r>
    </w:p>
    <w:p w:rsidR="00AD7C3E" w:rsidRPr="00AD7C3E" w:rsidRDefault="00AD7C3E" w:rsidP="00AD7C3E">
      <w:pPr>
        <w:pStyle w:val="ConsPlusNormal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7C3E">
        <w:rPr>
          <w:rFonts w:ascii="Times New Roman" w:hAnsi="Times New Roman" w:cs="Times New Roman"/>
          <w:bCs/>
          <w:color w:val="000000"/>
          <w:sz w:val="28"/>
          <w:szCs w:val="28"/>
        </w:rPr>
        <w:t>«3. Условия оплаты труда руководителя общеобразовательной организации и его заместителя.</w:t>
      </w:r>
    </w:p>
    <w:p w:rsidR="00AD7C3E" w:rsidRDefault="00AD7C3E" w:rsidP="00AD7C3E">
      <w:pPr>
        <w:pStyle w:val="ListParagraph1"/>
        <w:tabs>
          <w:tab w:val="left" w:pos="1134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D7C3E" w:rsidRDefault="00AD7C3E" w:rsidP="00AD7C3E">
      <w:pPr>
        <w:pStyle w:val="ListParagraph1"/>
        <w:numPr>
          <w:ilvl w:val="1"/>
          <w:numId w:val="11"/>
        </w:numPr>
        <w:tabs>
          <w:tab w:val="clear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Заработная плата руководителей общеобразовательных организаций и их заместителей состоит из должностных окладов, компенсационных и стимулирующих выплат.</w:t>
      </w:r>
    </w:p>
    <w:p w:rsidR="00AD7C3E" w:rsidRDefault="00AD7C3E" w:rsidP="00AD7C3E">
      <w:pPr>
        <w:ind w:firstLine="709"/>
        <w:jc w:val="both"/>
      </w:pPr>
      <w:r>
        <w:rPr>
          <w:color w:val="000000"/>
        </w:rPr>
        <w:t>3.1.1. Д</w:t>
      </w:r>
      <w:r>
        <w:t>олжностной оклад руководителя общеобразовательной организации  определяется по следующей формуле:</w:t>
      </w:r>
    </w:p>
    <w:p w:rsidR="00AD7C3E" w:rsidRDefault="00AD7C3E" w:rsidP="00AD7C3E">
      <w:pPr>
        <w:ind w:firstLine="709"/>
        <w:jc w:val="both"/>
      </w:pPr>
    </w:p>
    <w:p w:rsidR="00AD7C3E" w:rsidRDefault="00AD7C3E" w:rsidP="00AD7C3E">
      <w:pPr>
        <w:jc w:val="center"/>
      </w:pPr>
      <w:r>
        <w:t xml:space="preserve">О = </w:t>
      </w:r>
      <w:proofErr w:type="spellStart"/>
      <w:r>
        <w:t>ЗПср</w:t>
      </w:r>
      <w:proofErr w:type="spellEnd"/>
      <w:r>
        <w:t xml:space="preserve"> x Н x</w:t>
      </w:r>
      <w:proofErr w:type="gramStart"/>
      <w:r>
        <w:t xml:space="preserve"> К</w:t>
      </w:r>
      <w:proofErr w:type="gramEnd"/>
      <w:r>
        <w:t>, где:</w:t>
      </w:r>
    </w:p>
    <w:p w:rsidR="00AD7C3E" w:rsidRDefault="00AD7C3E" w:rsidP="00AD7C3E">
      <w:pPr>
        <w:jc w:val="center"/>
      </w:pPr>
    </w:p>
    <w:p w:rsidR="00AD7C3E" w:rsidRPr="00AD7C3E" w:rsidRDefault="00AD7C3E" w:rsidP="00AD7C3E">
      <w:pPr>
        <w:ind w:firstLine="709"/>
        <w:jc w:val="both"/>
        <w:rPr>
          <w:color w:val="000000" w:themeColor="text1"/>
          <w:szCs w:val="28"/>
        </w:rPr>
      </w:pPr>
      <w:r w:rsidRPr="00AD7C3E">
        <w:rPr>
          <w:color w:val="000000" w:themeColor="text1"/>
          <w:szCs w:val="28"/>
        </w:rPr>
        <w:t>О - должностной оклад руководителя, руб.;</w:t>
      </w:r>
    </w:p>
    <w:p w:rsidR="00AD7C3E" w:rsidRPr="00AD7C3E" w:rsidRDefault="00AD7C3E" w:rsidP="00AD7C3E">
      <w:pPr>
        <w:ind w:firstLine="709"/>
        <w:jc w:val="both"/>
        <w:rPr>
          <w:color w:val="000000" w:themeColor="text1"/>
          <w:szCs w:val="28"/>
        </w:rPr>
      </w:pPr>
      <w:proofErr w:type="spellStart"/>
      <w:r w:rsidRPr="00AD7C3E">
        <w:rPr>
          <w:color w:val="000000" w:themeColor="text1"/>
          <w:szCs w:val="28"/>
        </w:rPr>
        <w:t>ЗПср</w:t>
      </w:r>
      <w:proofErr w:type="spellEnd"/>
      <w:r w:rsidRPr="00AD7C3E">
        <w:rPr>
          <w:color w:val="000000" w:themeColor="text1"/>
          <w:szCs w:val="28"/>
        </w:rPr>
        <w:t xml:space="preserve"> - среднемесячная заработная плата работников, руб.;</w:t>
      </w:r>
    </w:p>
    <w:p w:rsidR="00AD7C3E" w:rsidRPr="00AD7C3E" w:rsidRDefault="00AD7C3E" w:rsidP="00AD7C3E">
      <w:pPr>
        <w:ind w:firstLine="709"/>
        <w:jc w:val="both"/>
        <w:rPr>
          <w:color w:val="000000" w:themeColor="text1"/>
          <w:szCs w:val="28"/>
        </w:rPr>
      </w:pPr>
      <w:r w:rsidRPr="00AD7C3E">
        <w:rPr>
          <w:color w:val="000000" w:themeColor="text1"/>
          <w:szCs w:val="28"/>
        </w:rPr>
        <w:t>Н - коэффициент, устанавливаемый нормативным актом учредителя в размере от 1 до 3;</w:t>
      </w:r>
    </w:p>
    <w:p w:rsidR="00AD7C3E" w:rsidRPr="00AD7C3E" w:rsidRDefault="00AD7C3E" w:rsidP="00AD7C3E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D7C3E">
        <w:rPr>
          <w:rFonts w:ascii="Times New Roman" w:hAnsi="Times New Roman" w:cs="Times New Roman"/>
          <w:color w:val="000000" w:themeColor="text1"/>
          <w:sz w:val="28"/>
          <w:szCs w:val="28"/>
        </w:rPr>
        <w:t>К - корректирующий коэффициент, устанавливаемый в соответствии с критериями отнесения учреждений к уровням, раз.</w:t>
      </w:r>
      <w:proofErr w:type="gramEnd"/>
    </w:p>
    <w:p w:rsidR="00AD7C3E" w:rsidRPr="00AD7C3E" w:rsidRDefault="00AD7C3E" w:rsidP="00AD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D7C3E">
        <w:rPr>
          <w:color w:val="000000" w:themeColor="text1"/>
          <w:sz w:val="28"/>
          <w:szCs w:val="28"/>
        </w:rPr>
        <w:t>Среднемесячная заработная плата работников муниципальной общеобразовательной организации определяется путем деления годового фонда оплаты труда работников учреждения (фонда), за исключением руководителя, его заместителей, на среднесписочную численность этих работников в среднем за год и на количество месяцев. В данном случае в расчет годового фонда оплаты труда работников включаются оклады и стимулирующие выплаты и не учитываются выплаты, обусловленные</w:t>
      </w:r>
      <w:r>
        <w:rPr>
          <w:color w:val="000000" w:themeColor="text1"/>
          <w:sz w:val="28"/>
          <w:szCs w:val="28"/>
        </w:rPr>
        <w:t xml:space="preserve"> </w:t>
      </w:r>
      <w:hyperlink r:id="rId10" w:anchor="/document/108125/entry/0" w:history="1">
        <w:r w:rsidRPr="00AD7C3E">
          <w:rPr>
            <w:rStyle w:val="a8"/>
            <w:rFonts w:eastAsia="Arial"/>
            <w:color w:val="000000" w:themeColor="text1"/>
            <w:sz w:val="28"/>
            <w:szCs w:val="28"/>
            <w:u w:val="none"/>
          </w:rPr>
          <w:t>районным коэффициентом</w:t>
        </w:r>
      </w:hyperlink>
      <w:r w:rsidRPr="00AD7C3E">
        <w:rPr>
          <w:color w:val="000000" w:themeColor="text1"/>
          <w:sz w:val="28"/>
          <w:szCs w:val="28"/>
        </w:rPr>
        <w:t>, процентной надбавкой за стаж работы в районах Крайнего Севера и приравненных к ним местностях, а также другие компенсационные выплаты.</w:t>
      </w:r>
    </w:p>
    <w:p w:rsidR="00AD7C3E" w:rsidRPr="00C56354" w:rsidRDefault="00AD7C3E" w:rsidP="00AD7C3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noProof/>
        </w:rPr>
        <w:drawing>
          <wp:inline distT="0" distB="0" distL="0" distR="0" wp14:anchorId="232B1BBD" wp14:editId="47D3D835">
            <wp:extent cx="2130725" cy="560717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84" cy="563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22272F"/>
          <w:sz w:val="28"/>
          <w:szCs w:val="28"/>
        </w:rPr>
        <w:t>,</w:t>
      </w:r>
      <w:r w:rsidRPr="00C56354">
        <w:rPr>
          <w:color w:val="22272F"/>
          <w:sz w:val="28"/>
          <w:szCs w:val="28"/>
        </w:rPr>
        <w:t xml:space="preserve"> где:</w:t>
      </w:r>
    </w:p>
    <w:p w:rsidR="00AD7C3E" w:rsidRPr="00AD7C3E" w:rsidRDefault="00AD7C3E" w:rsidP="00AD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D7C3E">
        <w:rPr>
          <w:color w:val="000000" w:themeColor="text1"/>
          <w:sz w:val="28"/>
          <w:szCs w:val="28"/>
        </w:rPr>
        <w:t>ФОТ - годовой фонд оплаты труда работников муниципальной общеобразовательной организации, за исключением руководителя, его заместителей рассчитанный без выплат, обусловленных </w:t>
      </w:r>
      <w:hyperlink r:id="rId12" w:anchor="/document/108125/entry/0" w:history="1">
        <w:r w:rsidRPr="00AD7C3E">
          <w:rPr>
            <w:rStyle w:val="a8"/>
            <w:rFonts w:eastAsia="Arial"/>
            <w:color w:val="000000" w:themeColor="text1"/>
            <w:sz w:val="28"/>
            <w:szCs w:val="28"/>
            <w:u w:val="none"/>
          </w:rPr>
          <w:t>районным коэффициентом</w:t>
        </w:r>
      </w:hyperlink>
      <w:r w:rsidRPr="00AD7C3E">
        <w:rPr>
          <w:color w:val="000000" w:themeColor="text1"/>
          <w:sz w:val="28"/>
          <w:szCs w:val="28"/>
        </w:rPr>
        <w:t>, и процентной надбавки за стаж работы в районах с особыми климатическими условиями, в том числе в районах Крайнего Севера и приравненных к ним местностях, и других выплат компенсационного характера;</w:t>
      </w:r>
    </w:p>
    <w:p w:rsidR="00AD7C3E" w:rsidRPr="00AD7C3E" w:rsidRDefault="00AD7C3E" w:rsidP="00AD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D7C3E">
        <w:rPr>
          <w:color w:val="000000" w:themeColor="text1"/>
          <w:sz w:val="28"/>
          <w:szCs w:val="28"/>
        </w:rPr>
        <w:t>Числ</w:t>
      </w:r>
      <w:proofErr w:type="spellEnd"/>
      <w:r w:rsidRPr="00AD7C3E">
        <w:rPr>
          <w:color w:val="000000" w:themeColor="text1"/>
          <w:sz w:val="28"/>
          <w:szCs w:val="28"/>
        </w:rPr>
        <w:t>. - среднесписочная численность работников муниципальной общеобразовательной организации, за исключением руководителя, его заместителей, в среднем за год;</w:t>
      </w:r>
    </w:p>
    <w:p w:rsidR="00AD7C3E" w:rsidRPr="00AD7C3E" w:rsidRDefault="00AD7C3E" w:rsidP="00AD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D7C3E">
        <w:rPr>
          <w:color w:val="000000" w:themeColor="text1"/>
          <w:sz w:val="28"/>
          <w:szCs w:val="28"/>
        </w:rPr>
        <w:t>n - количество месяцев в году (12).</w:t>
      </w:r>
    </w:p>
    <w:p w:rsidR="00AD7C3E" w:rsidRPr="00C56354" w:rsidRDefault="00AD7C3E" w:rsidP="00AD7C3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C56354">
        <w:rPr>
          <w:color w:val="22272F"/>
          <w:sz w:val="28"/>
          <w:szCs w:val="28"/>
        </w:rPr>
        <w:lastRenderedPageBreak/>
        <w:t xml:space="preserve">Период времени в данном случае равен календарному году, предшествующему году установления должностного оклада руководителю </w:t>
      </w:r>
      <w:r>
        <w:rPr>
          <w:color w:val="22272F"/>
          <w:sz w:val="28"/>
          <w:szCs w:val="28"/>
        </w:rPr>
        <w:t>муниципальной общеобразовательной организации</w:t>
      </w:r>
      <w:r w:rsidRPr="00C56354">
        <w:rPr>
          <w:color w:val="22272F"/>
          <w:sz w:val="28"/>
          <w:szCs w:val="28"/>
        </w:rPr>
        <w:t xml:space="preserve"> (фонда).</w:t>
      </w:r>
    </w:p>
    <w:p w:rsidR="00AD7C3E" w:rsidRDefault="00AD7C3E" w:rsidP="00AD7C3E">
      <w:pPr>
        <w:pStyle w:val="ListParagraph1"/>
        <w:numPr>
          <w:ilvl w:val="1"/>
          <w:numId w:val="11"/>
        </w:numPr>
        <w:tabs>
          <w:tab w:val="clear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 оклады заместителей руководителей устанавливаются на 20 процентов ниже должностных окладов руководителей.</w:t>
      </w:r>
    </w:p>
    <w:p w:rsidR="00AD7C3E" w:rsidRDefault="00AD7C3E" w:rsidP="00AD7C3E">
      <w:pPr>
        <w:pStyle w:val="ListParagraph1"/>
        <w:numPr>
          <w:ilvl w:val="1"/>
          <w:numId w:val="11"/>
        </w:numPr>
        <w:tabs>
          <w:tab w:val="clear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руководителям и заместителям руководителей общеобразовательных организаций применяются повышающие коэффициенты.</w:t>
      </w:r>
    </w:p>
    <w:p w:rsidR="00AD7C3E" w:rsidRDefault="00AD7C3E" w:rsidP="00AD7C3E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Коэффициент повышения размера должностного оклада в зависимости от группы по оплате труда руководителей, заместителей определяется на основе объемных показателей и Критериев отнесения общеобразовательных организаций к группам, используемым для определения должностного оклада руководителя, заместителя руководителя муниципальной общеобразовательной организации по объемным показателям. (Приложение № 4).</w:t>
      </w:r>
    </w:p>
    <w:p w:rsidR="00AD7C3E" w:rsidRDefault="00AD7C3E" w:rsidP="00AD7C3E">
      <w:pPr>
        <w:pStyle w:val="ListParagraph1"/>
        <w:numPr>
          <w:ilvl w:val="1"/>
          <w:numId w:val="11"/>
        </w:numPr>
        <w:tabs>
          <w:tab w:val="clear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Выплаты стимулирующего характера руководит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>елю по результатам деятельности муниципальных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организаций не начисляются в случаях не обеспечения:</w:t>
      </w:r>
    </w:p>
    <w:p w:rsidR="00AD7C3E" w:rsidRDefault="00AD7C3E" w:rsidP="00AD7C3E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своевременной выплаты заработной платы, пособий и иных выплат работникам учреждений в денежной форме;</w:t>
      </w:r>
    </w:p>
    <w:p w:rsidR="00AD7C3E" w:rsidRDefault="00AD7C3E" w:rsidP="00AD7C3E">
      <w:pPr>
        <w:pStyle w:val="ListParagraph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соответствующих требованиям охраны труда условий труда на каждом рабочем месте при наличии неустроенных нарушений в срок, установленный предписанием органов государственного надзора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трудового законодательства за счет внутренних источников учреждения (фонда), либо за счет выделенных ему финансовых средств;</w:t>
      </w:r>
    </w:p>
    <w:p w:rsidR="00AD7C3E" w:rsidRDefault="00AD7C3E" w:rsidP="00AD7C3E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начисления месячного размера заработной платы работникам, отработавшим за этот период норму рабочего времени и качественно выполнившим нормы труда (трудовые обязанности), не ниже установленной федеральным законодательством о минимальном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увеличенного на районный коэффициент и процентную надбавку;</w:t>
      </w:r>
    </w:p>
    <w:p w:rsidR="00AD7C3E" w:rsidRDefault="00AD7C3E" w:rsidP="00AD7C3E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иных условий, определяемых учредителем в установленном порядке.</w:t>
      </w:r>
    </w:p>
    <w:p w:rsidR="00AD7C3E" w:rsidRDefault="00AD7C3E" w:rsidP="00AD7C3E">
      <w:pPr>
        <w:pStyle w:val="ListParagraph1"/>
        <w:numPr>
          <w:ilvl w:val="1"/>
          <w:numId w:val="11"/>
        </w:numPr>
        <w:tabs>
          <w:tab w:val="clear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стимулирующих выплат руководителю,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за работу по внутреннему совместительству, производится по приказу учредителя. Выполнение руководителями общеобразовательных организаций и их заместителями дополнительной работы по совмещению разрешается в случаях замены временно отсутствующего специалиста по основной деятельности, в соответствии с положением по оплате труда работников. Решения о работе по совмещению в отношении руководителей общеобразовательных организаций и их заместителей принимаются учредителями.</w:t>
      </w:r>
    </w:p>
    <w:p w:rsidR="00AD7C3E" w:rsidRDefault="00AD7C3E" w:rsidP="00AD7C3E">
      <w:pPr>
        <w:pStyle w:val="ListParagraph1"/>
        <w:numPr>
          <w:ilvl w:val="1"/>
          <w:numId w:val="11"/>
        </w:numPr>
        <w:tabs>
          <w:tab w:val="clear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формирования фонда стимулирования руководителей Управлением образования администрации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район» может быть централизовано до 3% фонда оплаты труда, выделяемого общеобразовательной организации на текущий финансовый год.</w:t>
      </w:r>
    </w:p>
    <w:p w:rsidR="00AD7C3E" w:rsidRDefault="00AD7C3E" w:rsidP="00AD7C3E">
      <w:pPr>
        <w:widowControl w:val="0"/>
        <w:shd w:val="clear" w:color="auto" w:fill="FFFFFF"/>
        <w:ind w:firstLine="709"/>
        <w:jc w:val="both"/>
        <w:rPr>
          <w:szCs w:val="26"/>
        </w:rPr>
      </w:pPr>
      <w:r>
        <w:rPr>
          <w:color w:val="000000"/>
          <w:szCs w:val="28"/>
        </w:rPr>
        <w:t>Порядок, условия и размер выплат стимулирующего характера заместителей руководителей общеобразовательные организации определяют самостоятельно.</w:t>
      </w:r>
    </w:p>
    <w:p w:rsidR="00AD7C3E" w:rsidRDefault="00AD7C3E" w:rsidP="00AD7C3E">
      <w:pPr>
        <w:pStyle w:val="1"/>
        <w:ind w:firstLine="709"/>
        <w:jc w:val="left"/>
        <w:rPr>
          <w:b w:val="0"/>
          <w:color w:val="000000"/>
        </w:rPr>
      </w:pPr>
      <w:r w:rsidRPr="00F36084">
        <w:rPr>
          <w:b w:val="0"/>
          <w:szCs w:val="26"/>
        </w:rPr>
        <w:lastRenderedPageBreak/>
        <w:t>1.</w:t>
      </w:r>
      <w:r>
        <w:rPr>
          <w:b w:val="0"/>
          <w:szCs w:val="26"/>
        </w:rPr>
        <w:t>2</w:t>
      </w:r>
      <w:r w:rsidRPr="00F36084">
        <w:rPr>
          <w:b w:val="0"/>
          <w:szCs w:val="26"/>
        </w:rPr>
        <w:t xml:space="preserve">. </w:t>
      </w:r>
      <w:r>
        <w:rPr>
          <w:b w:val="0"/>
          <w:szCs w:val="26"/>
        </w:rPr>
        <w:t>Раздел</w:t>
      </w:r>
      <w:r w:rsidRPr="00F36084">
        <w:rPr>
          <w:b w:val="0"/>
          <w:szCs w:val="26"/>
        </w:rPr>
        <w:t xml:space="preserve"> </w:t>
      </w:r>
      <w:bookmarkStart w:id="1" w:name="sub_1005"/>
      <w:r w:rsidRPr="00F36084">
        <w:rPr>
          <w:b w:val="0"/>
          <w:color w:val="000000"/>
        </w:rPr>
        <w:t xml:space="preserve">8. </w:t>
      </w:r>
      <w:r>
        <w:rPr>
          <w:b w:val="0"/>
          <w:color w:val="000000"/>
        </w:rPr>
        <w:t>Изложить в следующей редакции:</w:t>
      </w:r>
    </w:p>
    <w:p w:rsidR="00AD7C3E" w:rsidRDefault="00AD7C3E" w:rsidP="00AD7C3E">
      <w:pPr>
        <w:pStyle w:val="1"/>
        <w:rPr>
          <w:b w:val="0"/>
          <w:color w:val="000000"/>
        </w:rPr>
      </w:pPr>
    </w:p>
    <w:p w:rsidR="00AD7C3E" w:rsidRDefault="00AD7C3E" w:rsidP="00AD7C3E">
      <w:pPr>
        <w:pStyle w:val="1"/>
        <w:rPr>
          <w:color w:val="000000"/>
        </w:rPr>
      </w:pPr>
      <w:r>
        <w:rPr>
          <w:b w:val="0"/>
          <w:color w:val="000000"/>
        </w:rPr>
        <w:t>«</w:t>
      </w:r>
      <w:r>
        <w:rPr>
          <w:color w:val="000000"/>
        </w:rPr>
        <w:t>8. Компенсационная часть заработной платы учителя</w:t>
      </w:r>
    </w:p>
    <w:p w:rsidR="00AD7C3E" w:rsidRDefault="00AD7C3E" w:rsidP="00AD7C3E">
      <w:pPr>
        <w:ind w:firstLine="709"/>
        <w:jc w:val="both"/>
        <w:rPr>
          <w:color w:val="000000"/>
        </w:rPr>
      </w:pPr>
      <w:bookmarkStart w:id="2" w:name="sub_1051"/>
      <w:r>
        <w:rPr>
          <w:color w:val="000000"/>
        </w:rPr>
        <w:t xml:space="preserve">8.1. </w:t>
      </w:r>
      <w:proofErr w:type="gramStart"/>
      <w:r>
        <w:rPr>
          <w:color w:val="000000"/>
        </w:rPr>
        <w:t>Компенсационная часть заработной платы учителя (</w:t>
      </w:r>
      <w:r>
        <w:rPr>
          <w:noProof/>
          <w:color w:val="000000"/>
        </w:rPr>
        <w:drawing>
          <wp:inline distT="0" distB="0" distL="0" distR="0" wp14:anchorId="1395CF7E" wp14:editId="7545CE3E">
            <wp:extent cx="638175" cy="314325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69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38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), устанавливается за работу в местностях с особыми климатическими условиями, в сельской местности, а также в организациях в условиях, отклоняющихся от нормальных (</w:t>
      </w:r>
      <w:hyperlink r:id="rId170" w:tooltip="http://80.253.4.49/document?id=12025268&amp;sub=149" w:history="1">
        <w:r>
          <w:rPr>
            <w:rStyle w:val="a9"/>
            <w:color w:val="000000"/>
          </w:rPr>
          <w:t xml:space="preserve">ст. </w:t>
        </w:r>
        <w:r>
          <w:rPr>
            <w:rStyle w:val="a9"/>
            <w:color w:val="000000"/>
          </w:rPr>
          <w:t>149</w:t>
        </w:r>
      </w:hyperlink>
      <w:r>
        <w:rPr>
          <w:color w:val="000000"/>
        </w:rPr>
        <w:t xml:space="preserve"> Трудового кодекса Российской Федерации), и рассчитывается по формуле:</w:t>
      </w:r>
      <w:bookmarkEnd w:id="2"/>
      <w:proofErr w:type="gramEnd"/>
    </w:p>
    <w:p w:rsidR="00AD7C3E" w:rsidRDefault="00AD7C3E" w:rsidP="00AD7C3E">
      <w:pPr>
        <w:ind w:firstLine="567"/>
        <w:jc w:val="both"/>
        <w:rPr>
          <w:color w:val="000000"/>
        </w:rPr>
      </w:pPr>
    </w:p>
    <w:p w:rsidR="00AD7C3E" w:rsidRDefault="00AD7C3E" w:rsidP="00AD7C3E">
      <w:pPr>
        <w:ind w:firstLine="567"/>
        <w:jc w:val="both"/>
        <w:rPr>
          <w:color w:val="000000"/>
        </w:rPr>
      </w:pPr>
      <w:r w:rsidRPr="002C3ADC">
        <w:rPr>
          <w:noProof/>
        </w:rPr>
        <w:drawing>
          <wp:inline distT="0" distB="0" distL="0" distR="0" wp14:anchorId="12060694" wp14:editId="0C371E88">
            <wp:extent cx="6119495" cy="209393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C3E" w:rsidRDefault="00AD7C3E" w:rsidP="00AD7C3E">
      <w:pPr>
        <w:jc w:val="center"/>
        <w:rPr>
          <w:color w:val="000000"/>
        </w:rPr>
      </w:pPr>
      <w:r w:rsidRPr="00FE3B02">
        <w:rPr>
          <w:color w:val="000000"/>
          <w:sz w:val="20"/>
        </w:rPr>
        <w:t>, где: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99AF4D0" wp14:editId="08AEAC41">
            <wp:extent cx="581025" cy="31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/>
                    </pic:cNvPicPr>
                  </pic:nvPicPr>
                  <pic:blipFill>
                    <a:blip r:embed="rId172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73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районный коэффициент, установленный федеральным законодательством и законодательством Республики Бурятия;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012E12D" wp14:editId="5F555197">
            <wp:extent cx="542925" cy="31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/>
                    </pic:cNvPicPr>
                  </pic:nvPicPr>
                  <pic:blipFill>
                    <a:blip r:embed="rId174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75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42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процентная надбавка за стаж работы в </w:t>
      </w:r>
      <w:hyperlink r:id="rId176" w:tooltip="http://80.253.4.49/document?id=78834&amp;sub=1000" w:history="1">
        <w:r>
          <w:rPr>
            <w:rStyle w:val="a9"/>
            <w:color w:val="000000"/>
          </w:rPr>
          <w:t>районах</w:t>
        </w:r>
      </w:hyperlink>
      <w:r>
        <w:rPr>
          <w:color w:val="000000"/>
        </w:rPr>
        <w:t xml:space="preserve"> Крайнего Севера и приравненных к ним местностях, установленная федеральным законодательством (переведенная в коэффициент);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727EA51" wp14:editId="015504D0">
            <wp:extent cx="400050" cy="314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/>
                    </pic:cNvPicPr>
                  </pic:nvPicPr>
                  <pic:blipFill>
                    <a:blip r:embed="rId177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78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коэффициент, учитывающий выплаты специалистам, работающим на селе - 0,25 (</w:t>
      </w:r>
      <w:hyperlink r:id="rId179" w:tooltip="http://80.253.4.49/document?id=29406589&amp;sub=382" w:history="1">
        <w:r>
          <w:rPr>
            <w:rStyle w:val="a9"/>
            <w:color w:val="000000"/>
          </w:rPr>
          <w:t>пункт 2 статьи 38 главы 6</w:t>
        </w:r>
      </w:hyperlink>
      <w:r>
        <w:rPr>
          <w:color w:val="000000"/>
        </w:rPr>
        <w:t xml:space="preserve"> Закона Республики Бурятия от 07.12.2004 N 899-III "Об отдельных полномочиях органов государственной власти Республики Бурятия");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5A65BCE" wp14:editId="4A1CC92D">
            <wp:extent cx="523875" cy="314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/>
                    </pic:cNvPicPr>
                  </pic:nvPicPr>
                  <pic:blipFill>
                    <a:blip r:embed="rId180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81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базовая часть заработной платы учителя, руб.;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Коэффициент (</w:t>
      </w:r>
      <w:proofErr w:type="spellStart"/>
      <w:r>
        <w:rPr>
          <w:color w:val="000000"/>
        </w:rPr>
        <w:t>К</w:t>
      </w:r>
      <w:r>
        <w:rPr>
          <w:color w:val="000000"/>
          <w:sz w:val="16"/>
          <w:szCs w:val="16"/>
        </w:rPr>
        <w:t>мп</w:t>
      </w:r>
      <w:proofErr w:type="spellEnd"/>
      <w:r>
        <w:rPr>
          <w:color w:val="000000"/>
        </w:rPr>
        <w:t>) для молодых педагогов (до 30</w:t>
      </w:r>
      <w:r>
        <w:rPr>
          <w:color w:val="000000"/>
        </w:rPr>
        <w:t xml:space="preserve"> </w:t>
      </w:r>
      <w:r>
        <w:rPr>
          <w:color w:val="000000"/>
        </w:rPr>
        <w:t>лет) впервые поступивших на работу после  окончания учебного заведения со стажем работы до 3х лет  устанавливается в размере: 0,30.</w:t>
      </w:r>
    </w:p>
    <w:p w:rsidR="00AD7C3E" w:rsidRDefault="00AD7C3E" w:rsidP="00AD7C3E">
      <w:pPr>
        <w:pStyle w:val="1"/>
        <w:ind w:firstLine="709"/>
        <w:jc w:val="left"/>
        <w:rPr>
          <w:b w:val="0"/>
          <w:color w:val="000000"/>
        </w:rPr>
      </w:pPr>
    </w:p>
    <w:p w:rsidR="00AD7C3E" w:rsidRDefault="00AD7C3E" w:rsidP="00AD7C3E">
      <w:pPr>
        <w:pStyle w:val="1"/>
        <w:ind w:firstLine="709"/>
        <w:jc w:val="left"/>
        <w:rPr>
          <w:b w:val="0"/>
          <w:color w:val="000000"/>
        </w:rPr>
      </w:pPr>
      <w:r>
        <w:rPr>
          <w:b w:val="0"/>
          <w:color w:val="000000"/>
        </w:rPr>
        <w:t>1.3.</w:t>
      </w:r>
      <w:r w:rsidRPr="00F36084">
        <w:rPr>
          <w:b w:val="0"/>
          <w:szCs w:val="26"/>
        </w:rPr>
        <w:t xml:space="preserve"> </w:t>
      </w:r>
      <w:r>
        <w:rPr>
          <w:b w:val="0"/>
          <w:szCs w:val="26"/>
        </w:rPr>
        <w:t>Раздел</w:t>
      </w:r>
      <w:r w:rsidRPr="00F36084">
        <w:rPr>
          <w:b w:val="0"/>
          <w:szCs w:val="26"/>
        </w:rPr>
        <w:t xml:space="preserve"> </w:t>
      </w:r>
      <w:r>
        <w:rPr>
          <w:b w:val="0"/>
          <w:szCs w:val="26"/>
        </w:rPr>
        <w:t>9</w:t>
      </w:r>
      <w:r w:rsidRPr="00F36084">
        <w:rPr>
          <w:b w:val="0"/>
          <w:color w:val="000000"/>
        </w:rPr>
        <w:t xml:space="preserve">. </w:t>
      </w:r>
      <w:r>
        <w:rPr>
          <w:b w:val="0"/>
          <w:color w:val="000000"/>
        </w:rPr>
        <w:t>Изложить в следующей редакции:</w:t>
      </w:r>
    </w:p>
    <w:p w:rsidR="00AD7C3E" w:rsidRDefault="00AD7C3E" w:rsidP="00AD7C3E">
      <w:pPr>
        <w:pStyle w:val="1"/>
        <w:rPr>
          <w:color w:val="000000"/>
        </w:rPr>
      </w:pPr>
      <w:bookmarkStart w:id="3" w:name="sub_1006"/>
    </w:p>
    <w:p w:rsidR="00AD7C3E" w:rsidRDefault="00AD7C3E" w:rsidP="00AD7C3E">
      <w:pPr>
        <w:pStyle w:val="1"/>
        <w:rPr>
          <w:color w:val="000000"/>
        </w:rPr>
      </w:pPr>
      <w:r>
        <w:rPr>
          <w:color w:val="000000"/>
        </w:rPr>
        <w:t>«9. Стимулирующая часть заработной платы учителя</w:t>
      </w:r>
      <w:bookmarkEnd w:id="3"/>
    </w:p>
    <w:p w:rsidR="00AD7C3E" w:rsidRDefault="00AD7C3E" w:rsidP="00AD7C3E">
      <w:pPr>
        <w:ind w:firstLine="709"/>
        <w:jc w:val="both"/>
        <w:rPr>
          <w:color w:val="000000"/>
        </w:rPr>
      </w:pPr>
      <w:bookmarkStart w:id="4" w:name="sub_1061"/>
      <w:r>
        <w:rPr>
          <w:color w:val="000000"/>
        </w:rPr>
        <w:t xml:space="preserve">9.1. Стимулирующая часть заработной платы учителя устанавливается в соответствии с </w:t>
      </w:r>
      <w:hyperlink r:id="rId182" w:tooltip="http://80.253.4.49/document?id=29432519&amp;sub=0" w:history="1">
        <w:r>
          <w:rPr>
            <w:rStyle w:val="a9"/>
            <w:color w:val="000000"/>
          </w:rPr>
          <w:t>постановлением</w:t>
        </w:r>
      </w:hyperlink>
      <w:r>
        <w:rPr>
          <w:color w:val="000000"/>
        </w:rPr>
        <w:t xml:space="preserve"> Правительства Республики Бурятия от 07.08.2008 N 387 "Об утверждении Перечней видов выплат компенсационного и стимулирующего характера в республиканских государственных учреждениях" и составляет не более 10% от фонда оплаты труда учителей без учета компенсационных выплат.</w:t>
      </w:r>
      <w:bookmarkEnd w:id="4"/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Стимулирующая часть заработной платы учителя состоит из тарифицируемых стимулирующих выплат</w:t>
      </w:r>
      <w:proofErr w:type="gramStart"/>
      <w:r>
        <w:rPr>
          <w:color w:val="000000"/>
        </w:rPr>
        <w:t xml:space="preserve"> (</w:t>
      </w:r>
      <w:r>
        <w:rPr>
          <w:noProof/>
          <w:color w:val="000000"/>
        </w:rPr>
        <w:drawing>
          <wp:inline distT="0" distB="0" distL="0" distR="0" wp14:anchorId="4D5E9266" wp14:editId="40231EBC">
            <wp:extent cx="323850" cy="3143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/>
                    </pic:cNvPicPr>
                  </pic:nvPicPr>
                  <pic:blipFill>
                    <a:blip r:embed="rId183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97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) </w:t>
      </w:r>
      <w:proofErr w:type="gramEnd"/>
      <w:r>
        <w:rPr>
          <w:color w:val="000000"/>
        </w:rPr>
        <w:t>и стимулирующих выплат за качество работы (</w:t>
      </w:r>
      <w:r>
        <w:rPr>
          <w:noProof/>
          <w:color w:val="000000"/>
        </w:rPr>
        <w:drawing>
          <wp:inline distT="0" distB="0" distL="0" distR="0" wp14:anchorId="1E5ED74F" wp14:editId="3776B057">
            <wp:extent cx="428625" cy="3143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/>
                    </pic:cNvPicPr>
                  </pic:nvPicPr>
                  <pic:blipFill>
                    <a:blip r:embed="rId198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199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).</w:t>
      </w:r>
    </w:p>
    <w:p w:rsidR="00AD7C3E" w:rsidRDefault="00AD7C3E" w:rsidP="00AD7C3E">
      <w:pPr>
        <w:ind w:firstLine="709"/>
        <w:jc w:val="both"/>
        <w:rPr>
          <w:color w:val="000000"/>
        </w:rPr>
      </w:pPr>
      <w:bookmarkStart w:id="5" w:name="sub_1062"/>
      <w:r>
        <w:rPr>
          <w:color w:val="000000"/>
        </w:rPr>
        <w:t>9.2. Тарифицируемые стимулирующие выплаты рассчитываются по формуле:</w:t>
      </w:r>
      <w:bookmarkEnd w:id="5"/>
    </w:p>
    <w:p w:rsidR="00AD7C3E" w:rsidRDefault="00AD7C3E" w:rsidP="00AD7C3E">
      <w:pPr>
        <w:ind w:firstLine="698"/>
        <w:jc w:val="center"/>
        <w:rPr>
          <w:noProof/>
          <w:color w:val="000000"/>
        </w:rPr>
      </w:pPr>
    </w:p>
    <w:p w:rsidR="00AD7C3E" w:rsidRDefault="00AD7C3E" w:rsidP="00AD7C3E">
      <w:pPr>
        <w:ind w:firstLine="698"/>
        <w:jc w:val="center"/>
        <w:rPr>
          <w:color w:val="000000"/>
        </w:rPr>
      </w:pPr>
      <w:r w:rsidRPr="00BD410E">
        <w:rPr>
          <w:noProof/>
          <w:color w:val="00000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57CDC0" wp14:editId="467D17EA">
                <wp:simplePos x="0" y="0"/>
                <wp:positionH relativeFrom="column">
                  <wp:posOffset>1412827</wp:posOffset>
                </wp:positionH>
                <wp:positionV relativeFrom="paragraph">
                  <wp:posOffset>-55245</wp:posOffset>
                </wp:positionV>
                <wp:extent cx="3415689" cy="448574"/>
                <wp:effectExtent l="38100" t="38100" r="32385" b="469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689" cy="448574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11.25pt;margin-top:-4.35pt;width:268.95pt;height:3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" filled="f" strokecolor="black [3213]" strokeweight="6pt"/>
            </w:pict>
          </mc:Fallback>
        </mc:AlternateContent>
      </w:r>
      <w:proofErr w:type="spellStart"/>
      <w:r w:rsidRPr="00BD410E">
        <w:rPr>
          <w:color w:val="000000"/>
          <w:sz w:val="32"/>
        </w:rPr>
        <w:t>В</w:t>
      </w:r>
      <w:r w:rsidRPr="00BD410E">
        <w:rPr>
          <w:color w:val="000000"/>
        </w:rPr>
        <w:t>тс</w:t>
      </w:r>
      <w:proofErr w:type="spellEnd"/>
      <w:r w:rsidRPr="00BD410E">
        <w:rPr>
          <w:color w:val="000000"/>
          <w:sz w:val="32"/>
        </w:rPr>
        <w:t>=</w:t>
      </w:r>
      <w:proofErr w:type="spellStart"/>
      <w:r w:rsidRPr="00BD410E">
        <w:rPr>
          <w:color w:val="000000"/>
          <w:sz w:val="32"/>
        </w:rPr>
        <w:t>ЗП</w:t>
      </w:r>
      <w:r w:rsidRPr="00BD410E">
        <w:rPr>
          <w:color w:val="000000"/>
          <w:sz w:val="24"/>
        </w:rPr>
        <w:t>баз</w:t>
      </w:r>
      <w:proofErr w:type="spellEnd"/>
      <w:r w:rsidRPr="00BD410E">
        <w:rPr>
          <w:color w:val="000000"/>
          <w:sz w:val="32"/>
        </w:rPr>
        <w:t xml:space="preserve"> </w:t>
      </w:r>
      <w:r w:rsidRPr="00BD410E">
        <w:rPr>
          <w:color w:val="000000"/>
          <w:sz w:val="40"/>
        </w:rPr>
        <w:t>х</w:t>
      </w:r>
      <w:r w:rsidRPr="00BD410E">
        <w:rPr>
          <w:color w:val="000000"/>
          <w:sz w:val="32"/>
        </w:rPr>
        <w:t xml:space="preserve"> (</w:t>
      </w:r>
      <w:proofErr w:type="spellStart"/>
      <w:r w:rsidRPr="00BD410E">
        <w:rPr>
          <w:color w:val="000000"/>
          <w:sz w:val="32"/>
        </w:rPr>
        <w:t>К</w:t>
      </w:r>
      <w:r w:rsidRPr="00BD410E">
        <w:rPr>
          <w:color w:val="000000"/>
        </w:rPr>
        <w:t>кв</w:t>
      </w:r>
      <w:r w:rsidRPr="00BD410E">
        <w:rPr>
          <w:color w:val="000000"/>
          <w:sz w:val="32"/>
        </w:rPr>
        <w:t>+К</w:t>
      </w:r>
      <w:r w:rsidRPr="00BD410E">
        <w:rPr>
          <w:color w:val="000000"/>
        </w:rPr>
        <w:t>зв</w:t>
      </w:r>
      <w:r w:rsidRPr="00BD410E">
        <w:rPr>
          <w:color w:val="000000"/>
          <w:sz w:val="32"/>
        </w:rPr>
        <w:t>+К</w:t>
      </w:r>
      <w:r w:rsidRPr="00BD410E">
        <w:rPr>
          <w:color w:val="000000"/>
        </w:rPr>
        <w:t>ст</w:t>
      </w:r>
      <w:r w:rsidRPr="00BD410E">
        <w:rPr>
          <w:color w:val="000000"/>
          <w:sz w:val="32"/>
        </w:rPr>
        <w:t>+К</w:t>
      </w:r>
      <w:r w:rsidRPr="00BD410E">
        <w:rPr>
          <w:color w:val="000000"/>
        </w:rPr>
        <w:t>сп</w:t>
      </w:r>
      <w:proofErr w:type="spellEnd"/>
      <w:r w:rsidRPr="00BD410E">
        <w:rPr>
          <w:color w:val="000000"/>
          <w:sz w:val="32"/>
        </w:rPr>
        <w:t xml:space="preserve">), руб., </w:t>
      </w:r>
    </w:p>
    <w:p w:rsidR="00AD7C3E" w:rsidRDefault="00AD7C3E" w:rsidP="00AD7C3E">
      <w:pPr>
        <w:rPr>
          <w:color w:val="000000"/>
        </w:rPr>
      </w:pPr>
      <w:r>
        <w:rPr>
          <w:color w:val="000000"/>
        </w:rPr>
        <w:t>где: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80B4BB1" wp14:editId="74639D6A">
            <wp:extent cx="352425" cy="31432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/>
                    </pic:cNvPicPr>
                  </pic:nvPicPr>
                  <pic:blipFill>
                    <a:blip r:embed="rId200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203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коэффициент квалификационной категории учителя, установленный по определенному учебному предмету в размере не менее: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0,2 - для учителя, имеющего высшую квалификационную категорию;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0,1 - для учителя, имеющего первую квалификационную категорию.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C9ADCBA" wp14:editId="4C1290BB">
            <wp:extent cx="342900" cy="3143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/>
                    </pic:cNvPicPr>
                  </pic:nvPicPr>
                  <pic:blipFill>
                    <a:blip r:embed="rId204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205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коэффициент почетного звания, установленный в размере не менее: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0,05 - почетные звания Республики Бурятия;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0,10 - нагрудный знак "Почетный работник воспитания и просвещения Российской Федерации", ведомственный знак отличия Министерства просвещения Российской Федерации "Отличник просвещения";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0,15 - почетное звание "Заслуженный учитель Российской Федерации".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При налич</w:t>
      </w:r>
      <w:proofErr w:type="gramStart"/>
      <w:r>
        <w:rPr>
          <w:color w:val="000000"/>
        </w:rPr>
        <w:t>ии у у</w:t>
      </w:r>
      <w:proofErr w:type="gramEnd"/>
      <w:r>
        <w:rPr>
          <w:color w:val="000000"/>
        </w:rPr>
        <w:t>чителя нескольких оснований для применения повышающего коэффициента звания коэффициент применяется по одному (максимальному) основанию.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F472282" wp14:editId="6703C77D">
            <wp:extent cx="323850" cy="3143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/>
                    </pic:cNvPicPr>
                  </pic:nvPicPr>
                  <pic:blipFill>
                    <a:blip r:embed="rId206">
                      <a:extLst>
                        <a:ext uri="{96DAC541-7B7A-43D3-8B79-37D633B846F1}">
                          <asvg:svgBlip xmlns:asvg="http://schemas.microsoft.com/office/drawing/2016/SVG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r:embed="rId207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- коэффициент стажа, установленный в размере не менее: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0,05 - при педагогическом стаже от 5 до 15 лет;</w:t>
      </w:r>
    </w:p>
    <w:p w:rsidR="00AD7C3E" w:rsidRDefault="00AD7C3E" w:rsidP="00AD7C3E">
      <w:pPr>
        <w:ind w:firstLine="709"/>
        <w:jc w:val="both"/>
        <w:rPr>
          <w:color w:val="000000"/>
        </w:rPr>
      </w:pPr>
      <w:r>
        <w:rPr>
          <w:color w:val="000000"/>
        </w:rPr>
        <w:t>0,10 - при педагогическом стаже от 15 лет и выше.</w:t>
      </w:r>
    </w:p>
    <w:p w:rsidR="00AD7C3E" w:rsidRPr="00F36084" w:rsidRDefault="00AD7C3E" w:rsidP="00AD7C3E">
      <w:pPr>
        <w:ind w:firstLine="709"/>
        <w:jc w:val="both"/>
      </w:pPr>
      <w:r w:rsidRPr="00F36084">
        <w:rPr>
          <w:noProof/>
        </w:rPr>
        <w:drawing>
          <wp:inline distT="0" distB="0" distL="0" distR="0" wp14:anchorId="170906C4" wp14:editId="50554673">
            <wp:extent cx="342900" cy="3143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/>
                    </pic:cNvPicPr>
                  </pic:nvPicPr>
                  <pic:blipFill>
                    <a:blip r:embed="rId208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209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84">
        <w:t xml:space="preserve"> - коэффициент сложности и приоритетности предмета.</w:t>
      </w:r>
    </w:p>
    <w:p w:rsidR="00AD7C3E" w:rsidRPr="00F36084" w:rsidRDefault="00AD7C3E" w:rsidP="00AD7C3E">
      <w:pPr>
        <w:ind w:firstLine="709"/>
        <w:jc w:val="both"/>
      </w:pPr>
      <w:r w:rsidRPr="00F36084">
        <w:t xml:space="preserve">Коэффициент сложности и приоритетности предмета устанавливается руководителем общеобразовательной организации с учетом мнения соответствующего органа профсоюзной организации в пределах до 15% от базовой части </w:t>
      </w:r>
      <w:r w:rsidRPr="00F36084">
        <w:rPr>
          <w:noProof/>
        </w:rPr>
        <w:drawing>
          <wp:inline distT="0" distB="0" distL="0" distR="0" wp14:anchorId="727C7AEC" wp14:editId="2C84A513">
            <wp:extent cx="47625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/>
                    </pic:cNvPicPr>
                  </pic:nvPicPr>
                  <pic:blipFill>
                    <a:blip r:embed="rId210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184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inline>
        </w:drawing>
      </w:r>
      <w:r w:rsidRPr="00F36084">
        <w:t xml:space="preserve"> учителей.</w:t>
      </w:r>
    </w:p>
    <w:p w:rsidR="00AD7C3E" w:rsidRPr="00F36084" w:rsidRDefault="00AD7C3E" w:rsidP="00AD7C3E">
      <w:pPr>
        <w:ind w:firstLine="709"/>
        <w:jc w:val="both"/>
      </w:pPr>
      <w:r w:rsidRPr="00F36084">
        <w:t>Рекомендуемые значения повышающего коэффициента</w:t>
      </w:r>
      <w:proofErr w:type="gramStart"/>
      <w:r w:rsidRPr="00F36084">
        <w:t xml:space="preserve"> (</w:t>
      </w:r>
      <w:r w:rsidRPr="00F36084">
        <w:rPr>
          <w:noProof/>
        </w:rPr>
        <w:drawing>
          <wp:inline distT="0" distB="0" distL="0" distR="0" wp14:anchorId="77BD8EC2" wp14:editId="3E1AA5E8">
            <wp:extent cx="342900" cy="3143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/>
                    </pic:cNvPicPr>
                  </pic:nvPicPr>
                  <pic:blipFill>
                    <a:blip r:embed="rId211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186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84">
        <w:t xml:space="preserve">) </w:t>
      </w:r>
      <w:proofErr w:type="gramEnd"/>
      <w:r w:rsidRPr="00F36084">
        <w:t>могут быть установлены в размере:</w:t>
      </w:r>
    </w:p>
    <w:p w:rsidR="00AD7C3E" w:rsidRPr="00F36084" w:rsidRDefault="00AD7C3E" w:rsidP="00AD7C3E">
      <w:pPr>
        <w:ind w:firstLine="709"/>
        <w:jc w:val="both"/>
      </w:pPr>
      <w:r w:rsidRPr="00F36084">
        <w:t>до 0,20 - русский язык, математика, 1 класс;</w:t>
      </w:r>
    </w:p>
    <w:p w:rsidR="00AD7C3E" w:rsidRPr="00F36084" w:rsidRDefault="00AD7C3E" w:rsidP="00AD7C3E">
      <w:pPr>
        <w:ind w:firstLine="709"/>
        <w:jc w:val="both"/>
      </w:pPr>
      <w:proofErr w:type="gramStart"/>
      <w:r w:rsidRPr="00F36084">
        <w:rPr>
          <w:shd w:val="clear" w:color="auto" w:fill="FFFFFF"/>
        </w:rPr>
        <w:t>"до 0,15 - иностранные языки, родной (бурятский) язык (I - IX классы), родная (бурятская) литература (I - IX классы), бурятский язык как государственный (I - IX классы), литература, физика, химия, 2 - 4 классы;</w:t>
      </w:r>
      <w:proofErr w:type="gramEnd"/>
    </w:p>
    <w:p w:rsidR="00AD7C3E" w:rsidRPr="00F36084" w:rsidRDefault="00AD7C3E" w:rsidP="00AD7C3E">
      <w:pPr>
        <w:ind w:firstLine="709"/>
        <w:jc w:val="both"/>
      </w:pPr>
      <w:r w:rsidRPr="00F36084">
        <w:t>до 0,10 - информатика, биология, география, история, обществознание.</w:t>
      </w:r>
    </w:p>
    <w:p w:rsidR="00AD7C3E" w:rsidRPr="00F36084" w:rsidRDefault="00AD7C3E" w:rsidP="00AD7C3E">
      <w:pPr>
        <w:ind w:firstLine="709"/>
        <w:jc w:val="both"/>
      </w:pPr>
      <w:r w:rsidRPr="00F36084">
        <w:rPr>
          <w:noProof/>
        </w:rPr>
        <w:drawing>
          <wp:inline distT="0" distB="0" distL="0" distR="0" wp14:anchorId="1F5B91D2" wp14:editId="16F5E548">
            <wp:extent cx="409575" cy="31432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/>
                    </pic:cNvPicPr>
                  </pic:nvPicPr>
                  <pic:blipFill>
                    <a:blip r:embed="rId212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188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84">
        <w:t xml:space="preserve"> - коэффициент за работу в общеобразовательных интернатах, применяется значение 0,10 (в остальных общеобразовательных организациях - 0);</w:t>
      </w:r>
    </w:p>
    <w:p w:rsidR="00AD7C3E" w:rsidRPr="00F36084" w:rsidRDefault="00AD7C3E" w:rsidP="00AD7C3E">
      <w:pPr>
        <w:ind w:firstLine="709"/>
        <w:jc w:val="both"/>
      </w:pPr>
      <w:r w:rsidRPr="00F36084">
        <w:rPr>
          <w:noProof/>
        </w:rPr>
        <w:drawing>
          <wp:inline distT="0" distB="0" distL="0" distR="0" wp14:anchorId="7269B346" wp14:editId="5C0F8681">
            <wp:extent cx="447675" cy="3143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/>
                    </pic:cNvPicPr>
                  </pic:nvPicPr>
                  <pic:blipFill>
                    <a:blip r:embed="rId213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19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84">
        <w:t xml:space="preserve"> - коэффициент за работу в лицеях, применяется значение 0,10 (в остальных общеобразовательных организациях - 0).</w:t>
      </w:r>
    </w:p>
    <w:p w:rsidR="00AD7C3E" w:rsidRPr="00F36084" w:rsidRDefault="00AD7C3E" w:rsidP="00AD7C3E">
      <w:pPr>
        <w:ind w:firstLine="709"/>
        <w:jc w:val="both"/>
      </w:pPr>
      <w:r w:rsidRPr="00F36084">
        <w:rPr>
          <w:noProof/>
        </w:rPr>
        <w:drawing>
          <wp:inline distT="0" distB="0" distL="0" distR="0" wp14:anchorId="5AA7E94A" wp14:editId="76ADA155">
            <wp:extent cx="323850" cy="3143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/>
                    </pic:cNvPicPr>
                  </pic:nvPicPr>
                  <pic:blipFill>
                    <a:blip r:embed="rId214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192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84">
        <w:t xml:space="preserve"> - тарифицируемые стимулирующие выплаты, руб.;</w:t>
      </w:r>
    </w:p>
    <w:p w:rsidR="00AD7C3E" w:rsidRPr="00D3526E" w:rsidRDefault="00AD7C3E" w:rsidP="00D3526E">
      <w:pPr>
        <w:ind w:firstLine="709"/>
        <w:jc w:val="both"/>
      </w:pPr>
      <w:r w:rsidRPr="00F36084">
        <w:rPr>
          <w:noProof/>
        </w:rPr>
        <w:drawing>
          <wp:inline distT="0" distB="0" distL="0" distR="0" wp14:anchorId="7E1337D4" wp14:editId="4251CD41">
            <wp:extent cx="428625" cy="3143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/>
                    </pic:cNvPicPr>
                  </pic:nvPicPr>
                  <pic:blipFill>
                    <a:blip r:embed="rId215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asvg="http://schemas.microsoft.com/office/drawing/2016/SVG/main" xmlns:arto="http://schemas.microsoft.com/office/word/2006/arto" r:embed="rId194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84">
        <w:t xml:space="preserve"> - стимулирующие выплаты за качество работы, руб.</w:t>
      </w:r>
      <w:r>
        <w:t>»</w:t>
      </w:r>
    </w:p>
    <w:bookmarkEnd w:id="1"/>
    <w:p w:rsidR="00AD7C3E" w:rsidRDefault="00AD7C3E" w:rsidP="00AD7C3E">
      <w:pPr>
        <w:widowControl w:val="0"/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2. Опубликовать настоящее Постановление в газете «Вперед» и разместить на сайте - </w:t>
      </w:r>
      <w:hyperlink r:id="rId216" w:tooltip="https://zaigraevo.gosuslugi.ru/" w:history="1">
        <w:r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:rsidR="00AD7C3E" w:rsidRDefault="00AD7C3E" w:rsidP="00AD7C3E">
      <w:pPr>
        <w:widowControl w:val="0"/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>3. Настоящее Постановление вступает в силу со дня его официального опубликования и распространяет свое действие на правоотношения, возникшие с 01.10.2025 года.</w:t>
      </w:r>
    </w:p>
    <w:p w:rsidR="0020042E" w:rsidRDefault="00AD7C3E" w:rsidP="00AD7C3E">
      <w:pPr>
        <w:widowControl w:val="0"/>
        <w:shd w:val="clear" w:color="auto" w:fill="FFFFFF"/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данного Постановления возложить на С.И.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Халматова</w:t>
      </w:r>
      <w:proofErr w:type="spellEnd"/>
      <w:r>
        <w:rPr>
          <w:szCs w:val="26"/>
        </w:rPr>
        <w:t>, заместителя руководителя Администрации по социальным вопросам муниципального образования «</w:t>
      </w:r>
      <w:proofErr w:type="spellStart"/>
      <w:r>
        <w:rPr>
          <w:szCs w:val="26"/>
        </w:rPr>
        <w:t>Заиграевский</w:t>
      </w:r>
      <w:proofErr w:type="spellEnd"/>
      <w:r>
        <w:rPr>
          <w:szCs w:val="26"/>
        </w:rPr>
        <w:t xml:space="preserve"> район».</w:t>
      </w:r>
    </w:p>
    <w:p w:rsidR="00AD7C3E" w:rsidRDefault="00AD7C3E" w:rsidP="00AD7C3E">
      <w:pPr>
        <w:widowControl w:val="0"/>
        <w:shd w:val="clear" w:color="auto" w:fill="FFFFFF"/>
        <w:ind w:firstLine="709"/>
        <w:jc w:val="both"/>
        <w:rPr>
          <w:szCs w:val="26"/>
        </w:rPr>
      </w:pPr>
    </w:p>
    <w:p w:rsidR="00AD7C3E" w:rsidRDefault="00AD7C3E" w:rsidP="00AD7C3E">
      <w:pPr>
        <w:widowControl w:val="0"/>
        <w:shd w:val="clear" w:color="auto" w:fill="FFFFFF"/>
        <w:ind w:firstLine="709"/>
        <w:jc w:val="both"/>
        <w:rPr>
          <w:szCs w:val="26"/>
        </w:rPr>
      </w:pPr>
    </w:p>
    <w:p w:rsidR="00AD7C3E" w:rsidRPr="00AD7C3E" w:rsidRDefault="00AD7C3E" w:rsidP="00AD7C3E">
      <w:pPr>
        <w:widowControl w:val="0"/>
        <w:shd w:val="clear" w:color="auto" w:fill="FFFFFF"/>
        <w:ind w:firstLine="709"/>
        <w:jc w:val="both"/>
        <w:rPr>
          <w:szCs w:val="26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AD7C3E" w:rsidRDefault="00532E39" w:rsidP="00AD7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AD7C3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4050BA8"/>
    <w:multiLevelType w:val="multilevel"/>
    <w:tmpl w:val="B09E24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C57B1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D7C3E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3AC4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3526E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D7C3E"/>
    <w:rPr>
      <w:b/>
      <w:sz w:val="28"/>
    </w:rPr>
  </w:style>
  <w:style w:type="character" w:customStyle="1" w:styleId="a9">
    <w:name w:val="Гипертекстовая ссылка"/>
    <w:basedOn w:val="a0"/>
    <w:uiPriority w:val="99"/>
    <w:rsid w:val="00AD7C3E"/>
    <w:rPr>
      <w:b/>
      <w:bCs/>
      <w:color w:val="106BBE"/>
    </w:rPr>
  </w:style>
  <w:style w:type="paragraph" w:customStyle="1" w:styleId="ListParagraph1">
    <w:name w:val="List Paragraph1"/>
    <w:basedOn w:val="a"/>
    <w:uiPriority w:val="99"/>
    <w:rsid w:val="00AD7C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rsid w:val="00AD7C3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D7C3E"/>
    <w:rPr>
      <w:b/>
      <w:sz w:val="28"/>
    </w:rPr>
  </w:style>
  <w:style w:type="character" w:customStyle="1" w:styleId="a9">
    <w:name w:val="Гипертекстовая ссылка"/>
    <w:basedOn w:val="a0"/>
    <w:uiPriority w:val="99"/>
    <w:rsid w:val="00AD7C3E"/>
    <w:rPr>
      <w:b/>
      <w:bCs/>
      <w:color w:val="106BBE"/>
    </w:rPr>
  </w:style>
  <w:style w:type="paragraph" w:customStyle="1" w:styleId="ListParagraph1">
    <w:name w:val="List Paragraph1"/>
    <w:basedOn w:val="a"/>
    <w:uiPriority w:val="99"/>
    <w:rsid w:val="00AD7C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1">
    <w:name w:val="s_1"/>
    <w:basedOn w:val="a"/>
    <w:rsid w:val="00AD7C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175" Type="http://schemas.openxmlformats.org/officeDocument/2006/relationships/image" Target="media/media79.svg"/><Relationship Id="rId188" Type="http://schemas.openxmlformats.org/officeDocument/2006/relationships/image" Target="media/media85.svg"/><Relationship Id="rId214" Type="http://schemas.openxmlformats.org/officeDocument/2006/relationships/image" Target="media/image19.emf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170" Type="http://schemas.openxmlformats.org/officeDocument/2006/relationships/hyperlink" Target="http://80.253.4.49/document?id=12025268&amp;sub=149" TargetMode="External"/><Relationship Id="rId183" Type="http://schemas.openxmlformats.org/officeDocument/2006/relationships/image" Target="media/image9.emf"/><Relationship Id="rId200" Type="http://schemas.openxmlformats.org/officeDocument/2006/relationships/image" Target="media/image11.emf"/><Relationship Id="rId205" Type="http://schemas.openxmlformats.org/officeDocument/2006/relationships/image" Target="media/media93.svg"/><Relationship Id="rId213" Type="http://schemas.openxmlformats.org/officeDocument/2006/relationships/image" Target="media/image18.emf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174" Type="http://schemas.openxmlformats.org/officeDocument/2006/relationships/image" Target="media/image6.emf"/><Relationship Id="rId179" Type="http://schemas.openxmlformats.org/officeDocument/2006/relationships/hyperlink" Target="http://80.253.4.49/document?id=29406589&amp;sub=382" TargetMode="External"/><Relationship Id="rId182" Type="http://schemas.openxmlformats.org/officeDocument/2006/relationships/hyperlink" Target="http://80.253.4.49/document?id=29432519&amp;sub=0" TargetMode="External"/><Relationship Id="rId209" Type="http://schemas.openxmlformats.org/officeDocument/2006/relationships/image" Target="media/media82.svg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178" Type="http://schemas.openxmlformats.org/officeDocument/2006/relationships/image" Target="media/media80.svg"/><Relationship Id="rId204" Type="http://schemas.openxmlformats.org/officeDocument/2006/relationships/image" Target="media/image12.emf"/><Relationship Id="rId212" Type="http://schemas.openxmlformats.org/officeDocument/2006/relationships/image" Target="media/image17.emf"/><Relationship Id="rId190" Type="http://schemas.openxmlformats.org/officeDocument/2006/relationships/image" Target="media/media86.svg"/><Relationship Id="rId5" Type="http://schemas.openxmlformats.org/officeDocument/2006/relationships/settings" Target="settings.xml"/><Relationship Id="rId173" Type="http://schemas.openxmlformats.org/officeDocument/2006/relationships/image" Target="media/media78.svg"/><Relationship Id="rId181" Type="http://schemas.openxmlformats.org/officeDocument/2006/relationships/image" Target="media/media81.svg"/><Relationship Id="rId199" Type="http://schemas.openxmlformats.org/officeDocument/2006/relationships/image" Target="media/media90.svg"/><Relationship Id="rId203" Type="http://schemas.openxmlformats.org/officeDocument/2006/relationships/image" Target="media/media92.svg"/><Relationship Id="rId208" Type="http://schemas.openxmlformats.org/officeDocument/2006/relationships/image" Target="media/image14.emf"/><Relationship Id="rId186" Type="http://schemas.openxmlformats.org/officeDocument/2006/relationships/image" Target="media/media84.svg"/><Relationship Id="rId194" Type="http://schemas.openxmlformats.org/officeDocument/2006/relationships/image" Target="media/media88.svg"/><Relationship Id="rId216" Type="http://schemas.openxmlformats.org/officeDocument/2006/relationships/hyperlink" Target="https://zaigraevo.gosuslugi.ru/" TargetMode="External"/><Relationship Id="rId10" Type="http://schemas.openxmlformats.org/officeDocument/2006/relationships/hyperlink" Target="https://internet.garant.ru/" TargetMode="External"/><Relationship Id="rId169" Type="http://schemas.openxmlformats.org/officeDocument/2006/relationships/image" Target="media/media77.svg"/><Relationship Id="rId177" Type="http://schemas.openxmlformats.org/officeDocument/2006/relationships/image" Target="media/image7.emf"/><Relationship Id="rId198" Type="http://schemas.openxmlformats.org/officeDocument/2006/relationships/image" Target="media/image10.emf"/><Relationship Id="rId211" Type="http://schemas.openxmlformats.org/officeDocument/2006/relationships/image" Target="media/image16.emf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6E20C02-1B12-465A-B64C-24AA92270007" TargetMode="External"/><Relationship Id="rId172" Type="http://schemas.openxmlformats.org/officeDocument/2006/relationships/image" Target="media/image5.emf"/><Relationship Id="rId180" Type="http://schemas.openxmlformats.org/officeDocument/2006/relationships/image" Target="media/image8.emf"/><Relationship Id="rId207" Type="http://schemas.openxmlformats.org/officeDocument/2006/relationships/image" Target="media/media94.svg"/><Relationship Id="rId210" Type="http://schemas.openxmlformats.org/officeDocument/2006/relationships/image" Target="media/image15.emf"/><Relationship Id="rId215" Type="http://schemas.openxmlformats.org/officeDocument/2006/relationships/image" Target="media/image20.emf"/><Relationship Id="rId8" Type="http://schemas.openxmlformats.org/officeDocument/2006/relationships/oleObject" Target="embeddings/oleObject1.bin"/><Relationship Id="rId171" Type="http://schemas.openxmlformats.org/officeDocument/2006/relationships/image" Target="media/image4.emf"/><Relationship Id="rId176" Type="http://schemas.openxmlformats.org/officeDocument/2006/relationships/hyperlink" Target="http://80.253.4.49/document?id=78834&amp;sub=1000" TargetMode="External"/><Relationship Id="rId197" Type="http://schemas.openxmlformats.org/officeDocument/2006/relationships/image" Target="media/media89.svg"/><Relationship Id="rId206" Type="http://schemas.openxmlformats.org/officeDocument/2006/relationships/image" Target="media/image13.emf"/><Relationship Id="rId184" Type="http://schemas.openxmlformats.org/officeDocument/2006/relationships/image" Target="media/media83.svg"/><Relationship Id="rId192" Type="http://schemas.openxmlformats.org/officeDocument/2006/relationships/image" Target="media/media87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9AF6-E33B-4139-87CD-1E70E48C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2025-12-25T07:18:00Z</cp:lastPrinted>
  <dcterms:created xsi:type="dcterms:W3CDTF">2025-12-25T07:18:00Z</dcterms:created>
  <dcterms:modified xsi:type="dcterms:W3CDTF">2025-12-25T07:18:00Z</dcterms:modified>
</cp:coreProperties>
</file>