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860F33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66907951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C00CF0" w:rsidRDefault="003D46BA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 w:rsidRPr="00C00CF0">
        <w:rPr>
          <w:szCs w:val="28"/>
        </w:rPr>
        <w:t>1</w:t>
      </w:r>
      <w:r w:rsidR="000176FA">
        <w:rPr>
          <w:szCs w:val="28"/>
        </w:rPr>
        <w:t>2</w:t>
      </w:r>
      <w:r w:rsidR="004917AC" w:rsidRPr="003D46BA">
        <w:rPr>
          <w:szCs w:val="28"/>
        </w:rPr>
        <w:t>.</w:t>
      </w:r>
      <w:r w:rsidR="00125570" w:rsidRPr="003D46BA">
        <w:rPr>
          <w:szCs w:val="28"/>
        </w:rPr>
        <w:t>01.2024</w:t>
      </w:r>
      <w:bookmarkStart w:id="0" w:name="_GoBack"/>
      <w:bookmarkEnd w:id="0"/>
      <w:r w:rsidRPr="00C00CF0">
        <w:rPr>
          <w:szCs w:val="28"/>
        </w:rPr>
        <w:t xml:space="preserve">                                                                                                             </w:t>
      </w:r>
      <w:r w:rsidR="0043356C" w:rsidRPr="003D46BA">
        <w:rPr>
          <w:szCs w:val="28"/>
        </w:rPr>
        <w:t>№</w:t>
      </w:r>
      <w:r w:rsidRPr="00C00CF0">
        <w:rPr>
          <w:szCs w:val="28"/>
        </w:rPr>
        <w:t>22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3D46BA" w:rsidRPr="00F63307" w:rsidRDefault="003D46BA" w:rsidP="003D46BA">
      <w:pPr>
        <w:widowControl w:val="0"/>
        <w:autoSpaceDE w:val="0"/>
        <w:autoSpaceDN w:val="0"/>
        <w:ind w:right="4705"/>
        <w:jc w:val="both"/>
        <w:rPr>
          <w:rFonts w:eastAsia="Calibri"/>
          <w:sz w:val="26"/>
          <w:szCs w:val="26"/>
        </w:rPr>
      </w:pPr>
      <w:r w:rsidRPr="00F63307">
        <w:rPr>
          <w:rFonts w:eastAsia="Calibri"/>
          <w:sz w:val="26"/>
          <w:szCs w:val="26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</w:t>
      </w:r>
      <w:proofErr w:type="spellStart"/>
      <w:r w:rsidRPr="00F63307">
        <w:rPr>
          <w:rFonts w:eastAsia="Calibri"/>
          <w:sz w:val="26"/>
          <w:szCs w:val="26"/>
        </w:rPr>
        <w:t>Заиграевский</w:t>
      </w:r>
      <w:proofErr w:type="spellEnd"/>
      <w:r w:rsidRPr="00F63307">
        <w:rPr>
          <w:rFonts w:eastAsia="Calibri"/>
          <w:sz w:val="26"/>
          <w:szCs w:val="26"/>
        </w:rPr>
        <w:t xml:space="preserve"> район» </w:t>
      </w:r>
    </w:p>
    <w:p w:rsidR="000176FA" w:rsidRDefault="000176FA" w:rsidP="003D46BA">
      <w:pPr>
        <w:ind w:firstLine="567"/>
        <w:jc w:val="both"/>
        <w:rPr>
          <w:sz w:val="26"/>
          <w:szCs w:val="26"/>
        </w:rPr>
      </w:pPr>
    </w:p>
    <w:p w:rsidR="003D46BA" w:rsidRPr="003D46BA" w:rsidRDefault="003D46BA" w:rsidP="003D46BA">
      <w:pPr>
        <w:ind w:firstLine="567"/>
        <w:jc w:val="both"/>
        <w:rPr>
          <w:sz w:val="26"/>
          <w:szCs w:val="26"/>
        </w:rPr>
      </w:pPr>
      <w:proofErr w:type="gramStart"/>
      <w:r w:rsidRPr="003D46B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 исполнение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постановлением Правительства Российской Федерации от 23.12.2020 г. №2220 «Об утверждении правил определения органами местного</w:t>
      </w:r>
      <w:proofErr w:type="gramEnd"/>
      <w:r w:rsidRPr="003D46BA">
        <w:rPr>
          <w:sz w:val="26"/>
          <w:szCs w:val="26"/>
        </w:rPr>
        <w:t xml:space="preserve">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руководствуясь стать</w:t>
      </w:r>
      <w:r w:rsidR="00C00CF0">
        <w:rPr>
          <w:sz w:val="26"/>
          <w:szCs w:val="26"/>
        </w:rPr>
        <w:t>ей</w:t>
      </w:r>
      <w:r w:rsidRPr="003D46BA">
        <w:rPr>
          <w:sz w:val="26"/>
          <w:szCs w:val="26"/>
        </w:rPr>
        <w:t xml:space="preserve"> </w:t>
      </w:r>
      <w:r w:rsidR="00C00CF0">
        <w:rPr>
          <w:sz w:val="26"/>
          <w:szCs w:val="26"/>
        </w:rPr>
        <w:t>34</w:t>
      </w:r>
      <w:r w:rsidRPr="003D46BA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3D46BA">
        <w:rPr>
          <w:sz w:val="26"/>
          <w:szCs w:val="26"/>
        </w:rPr>
        <w:t>Заиграевский</w:t>
      </w:r>
      <w:proofErr w:type="spellEnd"/>
      <w:r w:rsidRPr="003D46BA">
        <w:rPr>
          <w:sz w:val="26"/>
          <w:szCs w:val="26"/>
        </w:rPr>
        <w:t xml:space="preserve"> район» постановляю:</w:t>
      </w:r>
    </w:p>
    <w:p w:rsidR="003D46BA" w:rsidRPr="003D46BA" w:rsidRDefault="003D46BA" w:rsidP="003D46BA">
      <w:pPr>
        <w:ind w:firstLine="567"/>
        <w:jc w:val="both"/>
        <w:rPr>
          <w:sz w:val="26"/>
          <w:szCs w:val="26"/>
        </w:rPr>
      </w:pPr>
      <w:r w:rsidRPr="003D46BA">
        <w:rPr>
          <w:sz w:val="26"/>
          <w:szCs w:val="26"/>
        </w:rPr>
        <w:t>1.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proofErr w:type="gramStart"/>
      <w:r w:rsidRPr="003D46BA">
        <w:rPr>
          <w:sz w:val="26"/>
          <w:szCs w:val="26"/>
        </w:rPr>
        <w:t>-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 организаций, осуществляющих обучение несовершеннолетних;</w:t>
      </w:r>
      <w:proofErr w:type="gramEnd"/>
    </w:p>
    <w:p w:rsidR="003D46BA" w:rsidRPr="003D46BA" w:rsidRDefault="003D46BA" w:rsidP="003D46BA">
      <w:pPr>
        <w:jc w:val="both"/>
        <w:rPr>
          <w:sz w:val="26"/>
          <w:szCs w:val="26"/>
        </w:rPr>
      </w:pPr>
      <w:proofErr w:type="gramStart"/>
      <w:r w:rsidRPr="003D46BA">
        <w:rPr>
          <w:sz w:val="26"/>
          <w:szCs w:val="26"/>
        </w:rPr>
        <w:t xml:space="preserve">-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</w:t>
      </w:r>
      <w:r w:rsidRPr="003D46BA">
        <w:rPr>
          <w:sz w:val="26"/>
          <w:szCs w:val="26"/>
        </w:rPr>
        <w:lastRenderedPageBreak/>
        <w:t>основании лицензии, выданной в порядке, утвержденном законодательством РФ,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 xml:space="preserve">- спортивных сооружений, которые являются объектами </w:t>
      </w:r>
      <w:proofErr w:type="gramStart"/>
      <w:r w:rsidRPr="003D46BA">
        <w:rPr>
          <w:sz w:val="26"/>
          <w:szCs w:val="26"/>
        </w:rPr>
        <w:t>недвижимости</w:t>
      </w:r>
      <w:proofErr w:type="gramEnd"/>
      <w:r w:rsidRPr="003D46BA">
        <w:rPr>
          <w:sz w:val="26"/>
          <w:szCs w:val="26"/>
        </w:rPr>
        <w:t xml:space="preserve"> и права на которые зарегистрированы в установленном порядке;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proofErr w:type="gramStart"/>
      <w:r w:rsidRPr="003D46BA">
        <w:rPr>
          <w:sz w:val="26"/>
          <w:szCs w:val="26"/>
        </w:rPr>
        <w:t>- боевых позиций войск, полигонов, узлов связи, расположенных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воинский формирований и органов, обеспечивающих оборону и безопасность Российской Федерации;</w:t>
      </w:r>
      <w:proofErr w:type="gramEnd"/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>- вокзалов;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>-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3D46BA" w:rsidRPr="003D46BA" w:rsidRDefault="003D46BA" w:rsidP="003D46BA">
      <w:pPr>
        <w:ind w:firstLine="567"/>
        <w:jc w:val="both"/>
        <w:rPr>
          <w:sz w:val="26"/>
          <w:szCs w:val="26"/>
        </w:rPr>
      </w:pPr>
      <w:r w:rsidRPr="003D46BA">
        <w:rPr>
          <w:sz w:val="26"/>
          <w:szCs w:val="26"/>
        </w:rPr>
        <w:t xml:space="preserve">2. </w:t>
      </w:r>
      <w:proofErr w:type="gramStart"/>
      <w:r w:rsidRPr="003D46BA">
        <w:rPr>
          <w:sz w:val="26"/>
          <w:szCs w:val="26"/>
        </w:rPr>
        <w:t>Определить, что обособленная территория – это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детские, медицинские, образовательные организации, объекты спорта, вокзалы и рынки.</w:t>
      </w:r>
      <w:proofErr w:type="gramEnd"/>
    </w:p>
    <w:p w:rsidR="003D46BA" w:rsidRPr="003D46BA" w:rsidRDefault="003D46BA" w:rsidP="003D46BA">
      <w:pPr>
        <w:ind w:firstLine="567"/>
        <w:jc w:val="both"/>
        <w:rPr>
          <w:sz w:val="26"/>
          <w:szCs w:val="26"/>
        </w:rPr>
      </w:pPr>
      <w:r w:rsidRPr="003D46BA">
        <w:rPr>
          <w:sz w:val="26"/>
          <w:szCs w:val="26"/>
        </w:rPr>
        <w:t>3. Установить границы прилегающих территорий: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исключением, организаций дополнительного образования, организаций дополнительного профессионального образования) и организаций, осуществляющих обучение несовершеннолетних - 50 метров;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 xml:space="preserve">к спортивным сооружениям, которые являются объектами </w:t>
      </w:r>
      <w:proofErr w:type="gramStart"/>
      <w:r w:rsidRPr="003D46BA">
        <w:rPr>
          <w:sz w:val="26"/>
          <w:szCs w:val="26"/>
        </w:rPr>
        <w:t>недвижимости</w:t>
      </w:r>
      <w:proofErr w:type="gramEnd"/>
      <w:r w:rsidRPr="003D46BA">
        <w:rPr>
          <w:sz w:val="26"/>
          <w:szCs w:val="26"/>
        </w:rPr>
        <w:t xml:space="preserve"> и права на которые зарегистрированы в установленном порядке – 20 метров;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proofErr w:type="gramStart"/>
      <w:r w:rsidRPr="003D46BA">
        <w:rPr>
          <w:sz w:val="26"/>
          <w:szCs w:val="26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20</w:t>
      </w:r>
      <w:proofErr w:type="gramEnd"/>
      <w:r w:rsidRPr="003D46BA">
        <w:rPr>
          <w:sz w:val="26"/>
          <w:szCs w:val="26"/>
        </w:rPr>
        <w:t xml:space="preserve"> метров;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>к вокзалам - 20 метров;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proofErr w:type="gramStart"/>
      <w:r w:rsidRPr="003D46BA">
        <w:rPr>
          <w:sz w:val="26"/>
          <w:szCs w:val="26"/>
        </w:rPr>
        <w:t>боевых позиций войск, полигонов, узлов связи, расположенных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воинский формирований и органов, обеспечивающих оборону и безопасность Российской Федерации – 20 метров;</w:t>
      </w:r>
      <w:proofErr w:type="gramEnd"/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>к местам нахождения источников повышенной опасности – 20 метров.</w:t>
      </w:r>
    </w:p>
    <w:p w:rsidR="003D46BA" w:rsidRPr="003D46BA" w:rsidRDefault="003D46BA" w:rsidP="003D46BA">
      <w:pPr>
        <w:ind w:firstLine="567"/>
        <w:jc w:val="both"/>
        <w:rPr>
          <w:sz w:val="26"/>
          <w:szCs w:val="26"/>
        </w:rPr>
      </w:pPr>
      <w:r w:rsidRPr="003D46BA">
        <w:rPr>
          <w:sz w:val="26"/>
          <w:szCs w:val="26"/>
        </w:rPr>
        <w:t>4. Определить способ расчета расстояний: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>а) по кратчайшему маршруту движения пешехода (по пешеходной зоне)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 xml:space="preserve">б) по кратчайшему маршруту движения пешехода (по пешеходной зоне) при отсутствии обособленной территории - от входа для посетителей в здание (строение, </w:t>
      </w:r>
      <w:r w:rsidRPr="003D46BA">
        <w:rPr>
          <w:sz w:val="26"/>
          <w:szCs w:val="26"/>
        </w:rPr>
        <w:lastRenderedPageBreak/>
        <w:t>сооружение), в котором расположены организации и (или) объекты, до входа для посетителей в стационарный торговый объект;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 xml:space="preserve">в) при наличии нескольких входов для посетителей на обособленную территорию (в здание, строение, сооружение), на </w:t>
      </w:r>
      <w:proofErr w:type="gramStart"/>
      <w:r w:rsidRPr="003D46BA">
        <w:rPr>
          <w:sz w:val="26"/>
          <w:szCs w:val="26"/>
        </w:rPr>
        <w:t>которой</w:t>
      </w:r>
      <w:proofErr w:type="gramEnd"/>
      <w:r w:rsidRPr="003D46BA">
        <w:rPr>
          <w:sz w:val="26"/>
          <w:szCs w:val="26"/>
        </w:rPr>
        <w:t xml:space="preserve"> (в котором) расположена организация или объект, расчет (измерение) расстояния производить от каждого входа на обособленную территорию (в здание, строение, сооружение);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>г) при наличии нескольких входов для посетителей в стационарный торговый объект и объект общественного питания расчет (измерение) расстояния производить до ближайшего входа для посетителей в стационарный торговый объект и объект общественного питания.</w:t>
      </w:r>
    </w:p>
    <w:p w:rsidR="003D46BA" w:rsidRPr="003D46BA" w:rsidRDefault="003D46BA" w:rsidP="003D46BA">
      <w:pPr>
        <w:ind w:firstLine="567"/>
        <w:jc w:val="both"/>
        <w:rPr>
          <w:sz w:val="26"/>
          <w:szCs w:val="26"/>
        </w:rPr>
      </w:pPr>
      <w:r w:rsidRPr="003D46BA">
        <w:rPr>
          <w:sz w:val="26"/>
          <w:szCs w:val="26"/>
        </w:rPr>
        <w:t xml:space="preserve">5. 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за исключением объектов общественного питания, имеющих зал обслуживания, общая площадь которого не менее 20 квадратных </w:t>
      </w:r>
      <w:proofErr w:type="spellStart"/>
      <w:r w:rsidRPr="003D46BA">
        <w:rPr>
          <w:sz w:val="26"/>
          <w:szCs w:val="26"/>
        </w:rPr>
        <w:t>метров</w:t>
      </w:r>
      <w:proofErr w:type="gramStart"/>
      <w:r w:rsidRPr="003D46BA">
        <w:rPr>
          <w:sz w:val="26"/>
          <w:szCs w:val="26"/>
        </w:rPr>
        <w:t>,н</w:t>
      </w:r>
      <w:proofErr w:type="gramEnd"/>
      <w:r w:rsidRPr="003D46BA">
        <w:rPr>
          <w:sz w:val="26"/>
          <w:szCs w:val="26"/>
        </w:rPr>
        <w:t>а</w:t>
      </w:r>
      <w:proofErr w:type="spellEnd"/>
      <w:r w:rsidRPr="003D46BA">
        <w:rPr>
          <w:sz w:val="26"/>
          <w:szCs w:val="26"/>
        </w:rPr>
        <w:t xml:space="preserve"> расстоянии 20 метров от зданий многоквартирных домов и иных входящих в состав таких домов объектов недвижимого имущества. 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>Границы прилегающих к многоквартирным домам территорий определяются на расстоянии 20 метров от стен зданий многоквартирных домов и иных входящих в состав таких домов объектов недвижимости.</w:t>
      </w:r>
    </w:p>
    <w:p w:rsidR="003D46BA" w:rsidRPr="003D46BA" w:rsidRDefault="003D46BA" w:rsidP="003D46BA">
      <w:pPr>
        <w:jc w:val="both"/>
        <w:rPr>
          <w:sz w:val="26"/>
          <w:szCs w:val="26"/>
        </w:rPr>
      </w:pPr>
      <w:r w:rsidRPr="003D46BA">
        <w:rPr>
          <w:sz w:val="26"/>
          <w:szCs w:val="26"/>
        </w:rPr>
        <w:t>Расстояние, указанное в настоящем пункте определяется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3D46BA" w:rsidRPr="003D46BA" w:rsidRDefault="003D46BA" w:rsidP="003D46BA">
      <w:pPr>
        <w:ind w:firstLine="567"/>
        <w:jc w:val="both"/>
        <w:rPr>
          <w:sz w:val="26"/>
          <w:szCs w:val="26"/>
        </w:rPr>
      </w:pPr>
      <w:r w:rsidRPr="003D46BA">
        <w:rPr>
          <w:sz w:val="26"/>
          <w:szCs w:val="26"/>
        </w:rPr>
        <w:t>6. Признать утратившим силу постановление администрации муниципального образования «</w:t>
      </w:r>
      <w:proofErr w:type="spellStart"/>
      <w:r w:rsidRPr="003D46BA">
        <w:rPr>
          <w:sz w:val="26"/>
          <w:szCs w:val="26"/>
        </w:rPr>
        <w:t>Заиграевский</w:t>
      </w:r>
      <w:proofErr w:type="spellEnd"/>
      <w:r w:rsidRPr="003D46BA">
        <w:rPr>
          <w:sz w:val="26"/>
          <w:szCs w:val="26"/>
        </w:rPr>
        <w:t xml:space="preserve"> район» от 25.03.2013 г. № 521 «Об </w:t>
      </w:r>
      <w:proofErr w:type="spellStart"/>
      <w:r w:rsidRPr="003D46BA">
        <w:rPr>
          <w:sz w:val="26"/>
          <w:szCs w:val="26"/>
        </w:rPr>
        <w:t>определенииграниц</w:t>
      </w:r>
      <w:proofErr w:type="spellEnd"/>
      <w:r w:rsidRPr="003D46BA">
        <w:rPr>
          <w:sz w:val="26"/>
          <w:szCs w:val="26"/>
        </w:rPr>
        <w:t xml:space="preserve"> прилегающих территорий, где не допускается продажа алкогольной продукции».</w:t>
      </w:r>
    </w:p>
    <w:p w:rsidR="003D46BA" w:rsidRPr="003D46BA" w:rsidRDefault="000176FA" w:rsidP="003D46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3D46BA" w:rsidRPr="003D46BA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D46BA" w:rsidRPr="003D46BA" w:rsidRDefault="003D46BA" w:rsidP="000176FA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3D46BA">
        <w:rPr>
          <w:sz w:val="26"/>
          <w:szCs w:val="26"/>
        </w:rPr>
        <w:t xml:space="preserve">8. Опубликовать  настоящее  постановление  в  газете  «Вперед» и разместить на сайте </w:t>
      </w:r>
      <w:proofErr w:type="spellStart"/>
      <w:r w:rsidRPr="003D46BA">
        <w:rPr>
          <w:sz w:val="26"/>
          <w:szCs w:val="26"/>
          <w:u w:val="single"/>
        </w:rPr>
        <w:t>zaigraevo.gosuslugi.ru</w:t>
      </w:r>
      <w:proofErr w:type="spellEnd"/>
      <w:r w:rsidRPr="003D46BA">
        <w:rPr>
          <w:sz w:val="26"/>
          <w:szCs w:val="26"/>
          <w:u w:val="single"/>
        </w:rPr>
        <w:t>.</w:t>
      </w:r>
    </w:p>
    <w:p w:rsidR="003D46BA" w:rsidRPr="003D46BA" w:rsidRDefault="003D46BA" w:rsidP="003D46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46BA">
        <w:rPr>
          <w:sz w:val="26"/>
          <w:szCs w:val="26"/>
        </w:rPr>
        <w:t xml:space="preserve">       </w:t>
      </w:r>
      <w:r w:rsidR="000176FA">
        <w:rPr>
          <w:sz w:val="26"/>
          <w:szCs w:val="26"/>
        </w:rPr>
        <w:t xml:space="preserve">  </w:t>
      </w:r>
      <w:r w:rsidRPr="003D46BA">
        <w:rPr>
          <w:sz w:val="26"/>
          <w:szCs w:val="26"/>
        </w:rPr>
        <w:t xml:space="preserve">9. </w:t>
      </w:r>
      <w:proofErr w:type="gramStart"/>
      <w:r w:rsidRPr="003D46BA">
        <w:rPr>
          <w:sz w:val="26"/>
          <w:szCs w:val="26"/>
        </w:rPr>
        <w:t>Контроль за</w:t>
      </w:r>
      <w:proofErr w:type="gramEnd"/>
      <w:r w:rsidRPr="003D46BA">
        <w:rPr>
          <w:sz w:val="26"/>
          <w:szCs w:val="26"/>
        </w:rPr>
        <w:t xml:space="preserve"> исполнением настоящего Распоряжения возложить на </w:t>
      </w:r>
      <w:proofErr w:type="spellStart"/>
      <w:r w:rsidRPr="003D46BA">
        <w:rPr>
          <w:sz w:val="26"/>
          <w:szCs w:val="26"/>
        </w:rPr>
        <w:t>Глобенко</w:t>
      </w:r>
      <w:proofErr w:type="spellEnd"/>
      <w:r w:rsidRPr="003D46BA">
        <w:rPr>
          <w:sz w:val="26"/>
          <w:szCs w:val="26"/>
        </w:rPr>
        <w:t xml:space="preserve"> С.Л., заместителя руководителя Администрации по экономическим вопросам муниципального образования «</w:t>
      </w:r>
      <w:proofErr w:type="spellStart"/>
      <w:r w:rsidRPr="003D46BA">
        <w:rPr>
          <w:sz w:val="26"/>
          <w:szCs w:val="26"/>
        </w:rPr>
        <w:t>Заиграевский</w:t>
      </w:r>
      <w:proofErr w:type="spellEnd"/>
      <w:r w:rsidRPr="003D46BA">
        <w:rPr>
          <w:sz w:val="26"/>
          <w:szCs w:val="26"/>
        </w:rPr>
        <w:t xml:space="preserve"> район».</w:t>
      </w:r>
    </w:p>
    <w:p w:rsidR="00D742B0" w:rsidRPr="003D46BA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46BA" w:rsidRPr="000176FA" w:rsidRDefault="003D46BA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54B8" w:rsidRPr="003D46BA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D46BA">
        <w:rPr>
          <w:sz w:val="26"/>
          <w:szCs w:val="26"/>
        </w:rPr>
        <w:t xml:space="preserve">И.о. руководителя Администрации </w:t>
      </w:r>
    </w:p>
    <w:p w:rsidR="008F54B8" w:rsidRPr="003D46BA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D46BA">
        <w:rPr>
          <w:sz w:val="26"/>
          <w:szCs w:val="26"/>
        </w:rPr>
        <w:t xml:space="preserve">муниципального образования </w:t>
      </w:r>
    </w:p>
    <w:p w:rsidR="003D46BA" w:rsidRPr="003D46BA" w:rsidRDefault="008F54B8" w:rsidP="003D46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3D46BA">
        <w:rPr>
          <w:sz w:val="26"/>
          <w:szCs w:val="26"/>
        </w:rPr>
        <w:t>«</w:t>
      </w:r>
      <w:proofErr w:type="spellStart"/>
      <w:r w:rsidRPr="003D46BA">
        <w:rPr>
          <w:sz w:val="26"/>
          <w:szCs w:val="26"/>
        </w:rPr>
        <w:t>Заиграевский</w:t>
      </w:r>
      <w:proofErr w:type="spellEnd"/>
      <w:r w:rsidRPr="003D46BA">
        <w:rPr>
          <w:sz w:val="26"/>
          <w:szCs w:val="26"/>
        </w:rPr>
        <w:t xml:space="preserve"> район»                                                           </w:t>
      </w:r>
      <w:r w:rsidR="003D46BA">
        <w:rPr>
          <w:sz w:val="26"/>
          <w:szCs w:val="26"/>
          <w:lang w:val="en-US"/>
        </w:rPr>
        <w:t xml:space="preserve">                             </w:t>
      </w:r>
      <w:r w:rsidRPr="003D46BA">
        <w:rPr>
          <w:sz w:val="26"/>
          <w:szCs w:val="26"/>
        </w:rPr>
        <w:t xml:space="preserve"> И.С. Петров</w:t>
      </w:r>
    </w:p>
    <w:sectPr w:rsidR="003D46BA" w:rsidRPr="003D46BA" w:rsidSect="003D46BA">
      <w:pgSz w:w="11905" w:h="16838"/>
      <w:pgMar w:top="1134" w:right="850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176FA"/>
    <w:rsid w:val="000353AD"/>
    <w:rsid w:val="00040AA0"/>
    <w:rsid w:val="00042B3B"/>
    <w:rsid w:val="00047022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D46BA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60F33"/>
    <w:rsid w:val="00886C7F"/>
    <w:rsid w:val="00895822"/>
    <w:rsid w:val="008A3D75"/>
    <w:rsid w:val="008A4DC0"/>
    <w:rsid w:val="008B2EAF"/>
    <w:rsid w:val="008D2289"/>
    <w:rsid w:val="008E3DBC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00CF0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022"/>
    <w:rPr>
      <w:sz w:val="28"/>
    </w:rPr>
  </w:style>
  <w:style w:type="paragraph" w:styleId="1">
    <w:name w:val="heading 1"/>
    <w:basedOn w:val="a"/>
    <w:next w:val="a"/>
    <w:qFormat/>
    <w:rsid w:val="0004702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4702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47022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7022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047022"/>
    <w:pPr>
      <w:ind w:firstLine="6237"/>
      <w:jc w:val="right"/>
    </w:pPr>
  </w:style>
  <w:style w:type="paragraph" w:styleId="a4">
    <w:name w:val="Body Text"/>
    <w:basedOn w:val="a"/>
    <w:rsid w:val="00047022"/>
    <w:pPr>
      <w:jc w:val="both"/>
    </w:pPr>
  </w:style>
  <w:style w:type="paragraph" w:styleId="30">
    <w:name w:val="Body Text Indent 3"/>
    <w:basedOn w:val="a"/>
    <w:rsid w:val="00047022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B42B-938C-4928-9475-5E5B8120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7117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4</cp:revision>
  <cp:lastPrinted>2024-01-16T02:57:00Z</cp:lastPrinted>
  <dcterms:created xsi:type="dcterms:W3CDTF">2024-01-15T08:56:00Z</dcterms:created>
  <dcterms:modified xsi:type="dcterms:W3CDTF">2024-01-16T02:59:00Z</dcterms:modified>
</cp:coreProperties>
</file>